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2" w:rsidRPr="002D499A" w:rsidRDefault="00566101" w:rsidP="004D3BF2">
      <w:pPr>
        <w:spacing w:line="360" w:lineRule="auto"/>
        <w:jc w:val="center"/>
        <w:rPr>
          <w:rFonts w:ascii="Arial" w:hAnsi="Arial" w:cs="Arial"/>
          <w:b/>
          <w:sz w:val="22"/>
          <w:szCs w:val="22"/>
        </w:rPr>
      </w:pPr>
      <w:r>
        <w:rPr>
          <w:rFonts w:ascii="Arial" w:hAnsi="Arial" w:cs="Arial"/>
          <w:b/>
          <w:sz w:val="22"/>
          <w:szCs w:val="22"/>
        </w:rPr>
        <w:t>NATIONAL ASSEMBLY</w:t>
      </w:r>
    </w:p>
    <w:p w:rsidR="008E3D62" w:rsidRPr="002D499A" w:rsidRDefault="008E3D62" w:rsidP="004D3BF2">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QUESTION NUMBER: </w:t>
      </w:r>
      <w:r w:rsidR="00A45496">
        <w:rPr>
          <w:rFonts w:ascii="Arial" w:hAnsi="Arial" w:cs="Arial"/>
          <w:b/>
          <w:sz w:val="22"/>
          <w:szCs w:val="22"/>
        </w:rPr>
        <w:t>575</w:t>
      </w:r>
      <w:r w:rsidRPr="00C54E05">
        <w:rPr>
          <w:rFonts w:ascii="Arial" w:hAnsi="Arial" w:cs="Arial"/>
          <w:b/>
          <w:sz w:val="22"/>
          <w:szCs w:val="22"/>
        </w:rPr>
        <w:t xml:space="preserve"> [</w:t>
      </w:r>
      <w:r w:rsidR="004D3BF2">
        <w:rPr>
          <w:rFonts w:ascii="Arial" w:hAnsi="Arial" w:cs="Arial"/>
          <w:b/>
          <w:sz w:val="22"/>
          <w:szCs w:val="22"/>
        </w:rPr>
        <w:t>NW</w:t>
      </w:r>
      <w:r w:rsidR="00A45496">
        <w:rPr>
          <w:rFonts w:ascii="Arial" w:hAnsi="Arial" w:cs="Arial"/>
          <w:b/>
          <w:sz w:val="22"/>
          <w:szCs w:val="22"/>
        </w:rPr>
        <w:t>1572</w:t>
      </w:r>
      <w:r w:rsidRPr="00C54E05">
        <w:rPr>
          <w:rFonts w:ascii="Arial" w:hAnsi="Arial" w:cs="Arial"/>
          <w:b/>
          <w:sz w:val="22"/>
          <w:szCs w:val="22"/>
        </w:rPr>
        <w:t>E]</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DATE OF PUBLICATION: </w:t>
      </w:r>
      <w:r w:rsidR="00917C44">
        <w:rPr>
          <w:rFonts w:ascii="Arial" w:hAnsi="Arial" w:cs="Arial"/>
          <w:b/>
          <w:sz w:val="22"/>
          <w:szCs w:val="22"/>
        </w:rPr>
        <w:t>23</w:t>
      </w:r>
      <w:r w:rsidRPr="00C54E05">
        <w:rPr>
          <w:rFonts w:ascii="Arial" w:hAnsi="Arial" w:cs="Arial"/>
          <w:b/>
          <w:sz w:val="22"/>
          <w:szCs w:val="22"/>
        </w:rPr>
        <w:t xml:space="preserve"> </w:t>
      </w:r>
      <w:r w:rsidR="00917C44">
        <w:rPr>
          <w:rFonts w:ascii="Arial" w:hAnsi="Arial" w:cs="Arial"/>
          <w:b/>
          <w:sz w:val="22"/>
          <w:szCs w:val="22"/>
        </w:rPr>
        <w:t>AUGUST</w:t>
      </w:r>
      <w:r w:rsidRPr="00C54E05">
        <w:rPr>
          <w:rFonts w:ascii="Arial" w:hAnsi="Arial" w:cs="Arial"/>
          <w:b/>
          <w:sz w:val="22"/>
          <w:szCs w:val="22"/>
        </w:rPr>
        <w:t xml:space="preserve"> 201</w:t>
      </w:r>
      <w:r w:rsidR="00566101">
        <w:rPr>
          <w:rFonts w:ascii="Arial" w:hAnsi="Arial" w:cs="Arial"/>
          <w:b/>
          <w:sz w:val="22"/>
          <w:szCs w:val="22"/>
        </w:rPr>
        <w:t>9</w:t>
      </w:r>
    </w:p>
    <w:p w:rsidR="008E3D62" w:rsidRPr="00F01E1A" w:rsidRDefault="008E3D62" w:rsidP="008E3D62">
      <w:pPr>
        <w:spacing w:line="276" w:lineRule="auto"/>
        <w:jc w:val="both"/>
        <w:rPr>
          <w:rFonts w:ascii="Arial" w:hAnsi="Arial" w:cs="Arial"/>
          <w:b/>
          <w:sz w:val="22"/>
          <w:szCs w:val="22"/>
        </w:rPr>
      </w:pPr>
    </w:p>
    <w:p w:rsidR="00A45496" w:rsidRPr="00A45496" w:rsidRDefault="00A45496" w:rsidP="00A45496">
      <w:pPr>
        <w:spacing w:before="100" w:beforeAutospacing="1" w:after="100" w:afterAutospacing="1" w:line="276" w:lineRule="auto"/>
        <w:ind w:left="720" w:hanging="720"/>
        <w:jc w:val="both"/>
        <w:outlineLvl w:val="0"/>
        <w:rPr>
          <w:rFonts w:ascii="Arial" w:eastAsia="Calibri" w:hAnsi="Arial" w:cs="Arial"/>
          <w:sz w:val="22"/>
          <w:szCs w:val="22"/>
          <w:lang w:val="en-ZA"/>
        </w:rPr>
      </w:pPr>
      <w:r w:rsidRPr="00A45496">
        <w:rPr>
          <w:rFonts w:ascii="Arial" w:hAnsi="Arial" w:cs="Arial"/>
          <w:b/>
          <w:sz w:val="22"/>
          <w:szCs w:val="22"/>
        </w:rPr>
        <w:t>575.</w:t>
      </w:r>
      <w:r w:rsidRPr="00A45496">
        <w:rPr>
          <w:rFonts w:ascii="Arial" w:hAnsi="Arial" w:cs="Arial"/>
          <w:b/>
          <w:sz w:val="22"/>
          <w:szCs w:val="22"/>
        </w:rPr>
        <w:tab/>
      </w:r>
      <w:r w:rsidRPr="00A45496">
        <w:rPr>
          <w:rFonts w:ascii="Arial" w:eastAsia="Calibri" w:hAnsi="Arial" w:cs="Arial"/>
          <w:b/>
          <w:sz w:val="22"/>
          <w:szCs w:val="22"/>
          <w:lang w:val="en-ZA"/>
        </w:rPr>
        <w:t>Mr K Ceza (EFF) to ask the Minister of Finance</w:t>
      </w:r>
      <w:r w:rsidRPr="00A45496">
        <w:rPr>
          <w:rFonts w:ascii="Arial" w:eastAsia="Calibri" w:hAnsi="Arial" w:cs="Arial"/>
          <w:b/>
          <w:sz w:val="22"/>
          <w:szCs w:val="22"/>
          <w:lang w:val="en-ZA"/>
        </w:rPr>
        <w:fldChar w:fldCharType="begin"/>
      </w:r>
      <w:r w:rsidRPr="00A45496">
        <w:rPr>
          <w:rFonts w:ascii="Arial" w:eastAsia="Calibri" w:hAnsi="Arial" w:cs="Arial"/>
          <w:sz w:val="22"/>
          <w:szCs w:val="22"/>
          <w:lang w:val="en-ZA"/>
        </w:rPr>
        <w:instrText xml:space="preserve"> XE "</w:instrText>
      </w:r>
      <w:r w:rsidRPr="00A45496">
        <w:rPr>
          <w:rFonts w:ascii="Arial" w:eastAsia="Calibri" w:hAnsi="Arial" w:cs="Arial"/>
          <w:b/>
          <w:sz w:val="22"/>
          <w:szCs w:val="22"/>
          <w:lang w:val="en-ZA"/>
        </w:rPr>
        <w:instrText>Finance</w:instrText>
      </w:r>
      <w:r w:rsidRPr="00A45496">
        <w:rPr>
          <w:rFonts w:ascii="Arial" w:eastAsia="Calibri" w:hAnsi="Arial" w:cs="Arial"/>
          <w:sz w:val="22"/>
          <w:szCs w:val="22"/>
          <w:lang w:val="en-ZA"/>
        </w:rPr>
        <w:instrText xml:space="preserve">" </w:instrText>
      </w:r>
      <w:r w:rsidRPr="00A45496">
        <w:rPr>
          <w:rFonts w:ascii="Arial" w:eastAsia="Calibri" w:hAnsi="Arial" w:cs="Arial"/>
          <w:b/>
          <w:sz w:val="22"/>
          <w:szCs w:val="22"/>
          <w:lang w:val="en-ZA"/>
        </w:rPr>
        <w:fldChar w:fldCharType="end"/>
      </w:r>
      <w:r w:rsidRPr="00A45496">
        <w:rPr>
          <w:rFonts w:ascii="Arial" w:eastAsia="Calibri" w:hAnsi="Arial" w:cs="Arial"/>
          <w:b/>
          <w:sz w:val="22"/>
          <w:szCs w:val="22"/>
          <w:lang w:val="en-ZA"/>
        </w:rPr>
        <w:t>:</w:t>
      </w:r>
    </w:p>
    <w:p w:rsidR="00B97A5F" w:rsidRPr="00E41B88" w:rsidRDefault="00A45496" w:rsidP="00E41B88">
      <w:pPr>
        <w:spacing w:before="100" w:beforeAutospacing="1" w:after="100" w:afterAutospacing="1" w:line="276" w:lineRule="auto"/>
        <w:ind w:left="720" w:hanging="720"/>
        <w:jc w:val="both"/>
        <w:rPr>
          <w:rFonts w:ascii="Arial" w:eastAsia="Calibri" w:hAnsi="Arial" w:cs="Arial"/>
          <w:sz w:val="22"/>
          <w:szCs w:val="22"/>
          <w:lang w:val="en-ZA"/>
        </w:rPr>
      </w:pPr>
      <w:r w:rsidRPr="00A45496">
        <w:rPr>
          <w:rFonts w:ascii="Arial" w:eastAsia="Calibri" w:hAnsi="Arial" w:cs="Arial"/>
          <w:color w:val="000000"/>
          <w:sz w:val="22"/>
          <w:szCs w:val="22"/>
          <w:lang w:val="en-ZA"/>
        </w:rPr>
        <w:t>(1)</w:t>
      </w:r>
      <w:r w:rsidRPr="00A45496">
        <w:rPr>
          <w:rFonts w:ascii="Arial" w:eastAsia="Calibri" w:hAnsi="Arial" w:cs="Arial"/>
          <w:color w:val="000000"/>
          <w:sz w:val="22"/>
          <w:szCs w:val="22"/>
          <w:lang w:val="en-ZA"/>
        </w:rPr>
        <w:tab/>
      </w:r>
      <w:r w:rsidR="00E41B88" w:rsidRPr="00E41B88">
        <w:rPr>
          <w:rFonts w:ascii="Arial" w:eastAsia="Calibri" w:hAnsi="Arial" w:cs="Arial"/>
          <w:sz w:val="22"/>
          <w:szCs w:val="22"/>
          <w:lang w:val="en-ZA"/>
        </w:rPr>
        <w:t>What number of (a) security, (b) cleaning and (c) general worker personnel who work in buildings, facilities and all other infrastructure are employed through tenders obtained by their companies or third party service providers at the (i) Development Bank of Southern Africa and (ii) SA Revenue Service;</w:t>
      </w:r>
    </w:p>
    <w:p w:rsidR="00E41B88" w:rsidRDefault="00A45496" w:rsidP="00A45496">
      <w:pPr>
        <w:spacing w:before="100" w:beforeAutospacing="1" w:after="100" w:afterAutospacing="1" w:line="276" w:lineRule="auto"/>
        <w:ind w:left="720" w:hanging="720"/>
        <w:jc w:val="both"/>
        <w:rPr>
          <w:rFonts w:ascii="Arial" w:eastAsia="Calibri" w:hAnsi="Arial" w:cs="Arial"/>
          <w:sz w:val="22"/>
          <w:szCs w:val="22"/>
          <w:lang w:val="en-ZA"/>
        </w:rPr>
      </w:pPr>
      <w:r w:rsidRPr="00132CF0">
        <w:rPr>
          <w:rFonts w:ascii="Arial" w:eastAsia="Calibri" w:hAnsi="Arial" w:cs="Arial"/>
          <w:color w:val="000000"/>
          <w:sz w:val="22"/>
          <w:szCs w:val="22"/>
          <w:lang w:val="en-ZA"/>
        </w:rPr>
        <w:t>(2)</w:t>
      </w:r>
      <w:r w:rsidRPr="00132CF0">
        <w:rPr>
          <w:rFonts w:ascii="Arial" w:eastAsia="Calibri" w:hAnsi="Arial" w:cs="Arial"/>
          <w:color w:val="000000"/>
          <w:sz w:val="22"/>
          <w:szCs w:val="22"/>
          <w:lang w:val="en-ZA"/>
        </w:rPr>
        <w:tab/>
      </w:r>
      <w:r w:rsidR="00E41B88" w:rsidRPr="00E41B88">
        <w:rPr>
          <w:rFonts w:ascii="Arial" w:eastAsia="Calibri" w:hAnsi="Arial" w:cs="Arial"/>
          <w:sz w:val="22"/>
          <w:szCs w:val="22"/>
          <w:lang w:val="en-ZA"/>
        </w:rPr>
        <w:t>what total amount does the Development Bank of Southern Africa and the SA Revenue Service spend from their current budget on security, cleaning and general worker personnel who work in their buildings, facilities and all other infrastructure?</w:t>
      </w:r>
      <w:r w:rsidRPr="00A45496">
        <w:rPr>
          <w:rFonts w:ascii="Arial" w:eastAsia="Calibri" w:hAnsi="Arial" w:cs="Arial"/>
          <w:sz w:val="22"/>
          <w:szCs w:val="22"/>
          <w:lang w:val="en-ZA"/>
        </w:rPr>
        <w:tab/>
      </w:r>
    </w:p>
    <w:p w:rsidR="00A45496" w:rsidRPr="00A45496" w:rsidRDefault="00E41B88" w:rsidP="00A45496">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sidR="00A45496" w:rsidRPr="00A45496">
        <w:rPr>
          <w:rFonts w:ascii="Arial" w:eastAsia="Calibri" w:hAnsi="Arial" w:cs="Arial"/>
          <w:sz w:val="22"/>
          <w:szCs w:val="22"/>
          <w:lang w:val="en-ZA"/>
        </w:rPr>
        <w:tab/>
        <w:t>NW1572E</w:t>
      </w:r>
    </w:p>
    <w:p w:rsidR="008E3D62" w:rsidRDefault="008E3D62" w:rsidP="00A45496">
      <w:pPr>
        <w:spacing w:before="100" w:beforeAutospacing="1" w:after="100" w:afterAutospacing="1" w:line="276" w:lineRule="auto"/>
        <w:jc w:val="both"/>
        <w:outlineLvl w:val="0"/>
        <w:rPr>
          <w:rFonts w:ascii="Arial" w:hAnsi="Arial" w:cs="Arial"/>
          <w:sz w:val="22"/>
          <w:szCs w:val="22"/>
        </w:rPr>
      </w:pPr>
      <w:r w:rsidRPr="00A45496">
        <w:rPr>
          <w:rFonts w:ascii="Arial" w:hAnsi="Arial" w:cs="Arial"/>
          <w:b/>
          <w:sz w:val="22"/>
          <w:szCs w:val="22"/>
        </w:rPr>
        <w:t>REPLY</w:t>
      </w:r>
      <w:r w:rsidRPr="00A45496">
        <w:rPr>
          <w:rFonts w:ascii="Arial" w:hAnsi="Arial" w:cs="Arial"/>
          <w:sz w:val="22"/>
          <w:szCs w:val="22"/>
        </w:rPr>
        <w:t>:</w:t>
      </w:r>
    </w:p>
    <w:p w:rsidR="00E41B88" w:rsidRPr="00E41B88" w:rsidRDefault="00E41B88" w:rsidP="00A45496">
      <w:pPr>
        <w:spacing w:before="100" w:beforeAutospacing="1" w:after="100" w:afterAutospacing="1" w:line="276" w:lineRule="auto"/>
        <w:jc w:val="both"/>
        <w:outlineLvl w:val="0"/>
        <w:rPr>
          <w:rFonts w:ascii="Arial" w:hAnsi="Arial" w:cs="Arial"/>
          <w:b/>
          <w:sz w:val="22"/>
          <w:szCs w:val="22"/>
        </w:rPr>
      </w:pPr>
      <w:r w:rsidRPr="00E41B88">
        <w:rPr>
          <w:rFonts w:ascii="Arial" w:hAnsi="Arial" w:cs="Arial"/>
          <w:b/>
          <w:sz w:val="22"/>
          <w:szCs w:val="22"/>
        </w:rPr>
        <w:t>DBSA</w:t>
      </w:r>
    </w:p>
    <w:p w:rsidR="005A1746" w:rsidRDefault="005A1746" w:rsidP="00053D17">
      <w:pPr>
        <w:tabs>
          <w:tab w:val="left" w:pos="432"/>
          <w:tab w:val="left" w:pos="864"/>
        </w:tabs>
        <w:spacing w:line="360" w:lineRule="auto"/>
        <w:rPr>
          <w:rFonts w:ascii="Arial" w:hAnsi="Arial" w:cs="Arial"/>
          <w:sz w:val="22"/>
          <w:szCs w:val="22"/>
        </w:rPr>
      </w:pPr>
      <w:r>
        <w:rPr>
          <w:rFonts w:ascii="Arial" w:hAnsi="Arial" w:cs="Arial"/>
          <w:b/>
          <w:sz w:val="22"/>
          <w:szCs w:val="22"/>
        </w:rPr>
        <w:t xml:space="preserve">Number of workers: </w:t>
      </w:r>
      <w:r w:rsidRPr="00D10624">
        <w:rPr>
          <w:rFonts w:ascii="Arial" w:hAnsi="Arial" w:cs="Arial"/>
          <w:sz w:val="22"/>
          <w:szCs w:val="22"/>
        </w:rPr>
        <w:t>(None of these workers sourced through tenders</w:t>
      </w:r>
      <w:r w:rsidR="002718FB">
        <w:rPr>
          <w:rFonts w:ascii="Arial" w:hAnsi="Arial" w:cs="Arial"/>
          <w:sz w:val="22"/>
          <w:szCs w:val="22"/>
        </w:rPr>
        <w:t xml:space="preserve"> since insourcing dates</w:t>
      </w:r>
      <w:r w:rsidR="00D10624" w:rsidRPr="00D10624">
        <w:rPr>
          <w:rFonts w:ascii="Arial" w:hAnsi="Arial" w:cs="Arial"/>
          <w:sz w:val="22"/>
          <w:szCs w:val="22"/>
        </w:rPr>
        <w:t>)</w:t>
      </w:r>
    </w:p>
    <w:tbl>
      <w:tblPr>
        <w:tblStyle w:val="TableGrid"/>
        <w:tblW w:w="9445" w:type="dxa"/>
        <w:tblInd w:w="360" w:type="dxa"/>
        <w:tblLook w:val="04A0" w:firstRow="1" w:lastRow="0" w:firstColumn="1" w:lastColumn="0" w:noHBand="0" w:noVBand="1"/>
      </w:tblPr>
      <w:tblGrid>
        <w:gridCol w:w="1959"/>
        <w:gridCol w:w="928"/>
        <w:gridCol w:w="6558"/>
      </w:tblGrid>
      <w:tr w:rsidR="00492F46" w:rsidRPr="00492F46" w:rsidTr="00D10624">
        <w:tc>
          <w:tcPr>
            <w:tcW w:w="1959" w:type="dxa"/>
            <w:shd w:val="clear" w:color="auto" w:fill="D9D9D9" w:themeFill="background1" w:themeFillShade="D9"/>
            <w:vAlign w:val="center"/>
          </w:tcPr>
          <w:p w:rsidR="00492F46" w:rsidRPr="00492F46" w:rsidRDefault="00492F46" w:rsidP="00492F46">
            <w:pPr>
              <w:pStyle w:val="ListParagraph"/>
              <w:tabs>
                <w:tab w:val="left" w:pos="270"/>
                <w:tab w:val="left" w:pos="864"/>
              </w:tabs>
              <w:spacing w:line="360" w:lineRule="auto"/>
              <w:ind w:left="0"/>
              <w:rPr>
                <w:rFonts w:ascii="Arial" w:hAnsi="Arial" w:cs="Arial"/>
                <w:sz w:val="20"/>
                <w:szCs w:val="20"/>
              </w:rPr>
            </w:pPr>
            <w:r w:rsidRPr="00492F46">
              <w:rPr>
                <w:rFonts w:ascii="Arial" w:hAnsi="Arial" w:cs="Arial"/>
                <w:sz w:val="20"/>
                <w:szCs w:val="20"/>
              </w:rPr>
              <w:t>Personnel</w:t>
            </w:r>
          </w:p>
        </w:tc>
        <w:tc>
          <w:tcPr>
            <w:tcW w:w="928" w:type="dxa"/>
            <w:shd w:val="clear" w:color="auto" w:fill="D9D9D9" w:themeFill="background1" w:themeFillShade="D9"/>
            <w:vAlign w:val="center"/>
          </w:tcPr>
          <w:p w:rsidR="00492F46" w:rsidRPr="00492F46" w:rsidRDefault="00492F46" w:rsidP="00492F46">
            <w:pPr>
              <w:pStyle w:val="ListParagraph"/>
              <w:tabs>
                <w:tab w:val="left" w:pos="270"/>
                <w:tab w:val="left" w:pos="864"/>
              </w:tabs>
              <w:spacing w:line="360" w:lineRule="auto"/>
              <w:ind w:left="0"/>
              <w:rPr>
                <w:rFonts w:ascii="Arial" w:hAnsi="Arial" w:cs="Arial"/>
                <w:sz w:val="20"/>
                <w:szCs w:val="20"/>
              </w:rPr>
            </w:pPr>
            <w:r w:rsidRPr="00492F46">
              <w:rPr>
                <w:rFonts w:ascii="Arial" w:hAnsi="Arial" w:cs="Arial"/>
                <w:sz w:val="20"/>
                <w:szCs w:val="20"/>
              </w:rPr>
              <w:t>Number</w:t>
            </w:r>
          </w:p>
        </w:tc>
        <w:tc>
          <w:tcPr>
            <w:tcW w:w="6558" w:type="dxa"/>
            <w:shd w:val="clear" w:color="auto" w:fill="D9D9D9" w:themeFill="background1" w:themeFillShade="D9"/>
            <w:vAlign w:val="center"/>
          </w:tcPr>
          <w:p w:rsidR="00492F46" w:rsidRPr="00492F46" w:rsidRDefault="00492F46" w:rsidP="00492F46">
            <w:pPr>
              <w:pStyle w:val="ListParagraph"/>
              <w:tabs>
                <w:tab w:val="left" w:pos="270"/>
                <w:tab w:val="left" w:pos="864"/>
              </w:tabs>
              <w:spacing w:line="360" w:lineRule="auto"/>
              <w:ind w:left="0"/>
              <w:jc w:val="center"/>
              <w:rPr>
                <w:rFonts w:ascii="Arial" w:hAnsi="Arial" w:cs="Arial"/>
                <w:sz w:val="20"/>
                <w:szCs w:val="20"/>
              </w:rPr>
            </w:pPr>
            <w:r w:rsidRPr="00492F46">
              <w:rPr>
                <w:rFonts w:ascii="Arial" w:hAnsi="Arial" w:cs="Arial"/>
                <w:sz w:val="20"/>
                <w:szCs w:val="20"/>
              </w:rPr>
              <w:t>Comments</w:t>
            </w:r>
          </w:p>
        </w:tc>
      </w:tr>
      <w:tr w:rsidR="00492F46" w:rsidRPr="00492F46" w:rsidTr="00D10624">
        <w:trPr>
          <w:trHeight w:val="467"/>
        </w:trPr>
        <w:tc>
          <w:tcPr>
            <w:tcW w:w="1959" w:type="dxa"/>
            <w:vAlign w:val="center"/>
          </w:tcPr>
          <w:p w:rsidR="00492F46" w:rsidRPr="00492F46" w:rsidRDefault="00492F46" w:rsidP="00492F46">
            <w:pPr>
              <w:pStyle w:val="ListParagraph"/>
              <w:tabs>
                <w:tab w:val="left" w:pos="270"/>
                <w:tab w:val="left" w:pos="864"/>
              </w:tabs>
              <w:spacing w:line="360" w:lineRule="auto"/>
              <w:ind w:left="0"/>
              <w:rPr>
                <w:rFonts w:ascii="Arial" w:hAnsi="Arial" w:cs="Arial"/>
                <w:sz w:val="20"/>
                <w:szCs w:val="20"/>
              </w:rPr>
            </w:pPr>
            <w:r w:rsidRPr="00492F46">
              <w:rPr>
                <w:rFonts w:ascii="Arial" w:hAnsi="Arial" w:cs="Arial"/>
                <w:sz w:val="20"/>
                <w:szCs w:val="20"/>
              </w:rPr>
              <w:t>Cleaning</w:t>
            </w:r>
          </w:p>
        </w:tc>
        <w:tc>
          <w:tcPr>
            <w:tcW w:w="928" w:type="dxa"/>
            <w:vAlign w:val="center"/>
          </w:tcPr>
          <w:p w:rsidR="00492F46" w:rsidRPr="00492F46" w:rsidRDefault="00D10624" w:rsidP="00492F46">
            <w:pPr>
              <w:pStyle w:val="ListParagraph"/>
              <w:tabs>
                <w:tab w:val="left" w:pos="270"/>
                <w:tab w:val="left" w:pos="864"/>
              </w:tabs>
              <w:spacing w:line="360" w:lineRule="auto"/>
              <w:ind w:left="0"/>
              <w:jc w:val="center"/>
              <w:rPr>
                <w:rFonts w:ascii="Arial" w:hAnsi="Arial" w:cs="Arial"/>
                <w:sz w:val="20"/>
                <w:szCs w:val="20"/>
              </w:rPr>
            </w:pPr>
            <w:r>
              <w:rPr>
                <w:rFonts w:ascii="Arial" w:hAnsi="Arial" w:cs="Arial"/>
                <w:sz w:val="20"/>
                <w:szCs w:val="20"/>
              </w:rPr>
              <w:t>19</w:t>
            </w:r>
          </w:p>
        </w:tc>
        <w:tc>
          <w:tcPr>
            <w:tcW w:w="6558" w:type="dxa"/>
            <w:vAlign w:val="center"/>
          </w:tcPr>
          <w:p w:rsidR="00492F46" w:rsidRPr="00492F46" w:rsidRDefault="00492F46" w:rsidP="00492F46">
            <w:pPr>
              <w:tabs>
                <w:tab w:val="left" w:pos="270"/>
                <w:tab w:val="left" w:pos="864"/>
              </w:tabs>
              <w:rPr>
                <w:rFonts w:ascii="Arial" w:hAnsi="Arial" w:cs="Arial"/>
                <w:b/>
                <w:sz w:val="20"/>
                <w:szCs w:val="20"/>
              </w:rPr>
            </w:pPr>
            <w:r w:rsidRPr="00492F46">
              <w:rPr>
                <w:rFonts w:ascii="Arial" w:hAnsi="Arial" w:cs="Arial"/>
                <w:sz w:val="20"/>
                <w:szCs w:val="20"/>
              </w:rPr>
              <w:t>DBSA</w:t>
            </w:r>
            <w:r>
              <w:rPr>
                <w:rFonts w:ascii="Arial" w:hAnsi="Arial" w:cs="Arial"/>
                <w:sz w:val="20"/>
                <w:szCs w:val="20"/>
              </w:rPr>
              <w:t xml:space="preserve"> insourced the cleaning workers </w:t>
            </w:r>
            <w:r w:rsidRPr="00492F46">
              <w:rPr>
                <w:rFonts w:ascii="Arial" w:hAnsi="Arial" w:cs="Arial"/>
                <w:sz w:val="20"/>
                <w:szCs w:val="20"/>
              </w:rPr>
              <w:t>June 2015</w:t>
            </w:r>
          </w:p>
        </w:tc>
      </w:tr>
      <w:tr w:rsidR="00492F46" w:rsidRPr="00492F46" w:rsidTr="00D10624">
        <w:trPr>
          <w:trHeight w:val="458"/>
        </w:trPr>
        <w:tc>
          <w:tcPr>
            <w:tcW w:w="1959" w:type="dxa"/>
            <w:vAlign w:val="center"/>
          </w:tcPr>
          <w:p w:rsidR="00492F46" w:rsidRPr="00492F46" w:rsidRDefault="00492F46" w:rsidP="00492F46">
            <w:pPr>
              <w:pStyle w:val="ListParagraph"/>
              <w:tabs>
                <w:tab w:val="left" w:pos="270"/>
                <w:tab w:val="left" w:pos="864"/>
              </w:tabs>
              <w:spacing w:line="360" w:lineRule="auto"/>
              <w:ind w:left="0"/>
              <w:rPr>
                <w:rFonts w:ascii="Arial" w:hAnsi="Arial" w:cs="Arial"/>
                <w:sz w:val="20"/>
                <w:szCs w:val="20"/>
              </w:rPr>
            </w:pPr>
            <w:r w:rsidRPr="00492F46">
              <w:rPr>
                <w:rFonts w:ascii="Arial" w:hAnsi="Arial" w:cs="Arial"/>
                <w:sz w:val="20"/>
                <w:szCs w:val="20"/>
              </w:rPr>
              <w:t>Security</w:t>
            </w:r>
          </w:p>
        </w:tc>
        <w:tc>
          <w:tcPr>
            <w:tcW w:w="928" w:type="dxa"/>
            <w:vAlign w:val="center"/>
          </w:tcPr>
          <w:p w:rsidR="00492F46" w:rsidRPr="00492F46" w:rsidRDefault="00D10624" w:rsidP="00492F46">
            <w:pPr>
              <w:pStyle w:val="ListParagraph"/>
              <w:tabs>
                <w:tab w:val="left" w:pos="270"/>
                <w:tab w:val="left" w:pos="864"/>
              </w:tabs>
              <w:spacing w:line="360" w:lineRule="auto"/>
              <w:ind w:left="0"/>
              <w:jc w:val="center"/>
              <w:rPr>
                <w:rFonts w:ascii="Arial" w:hAnsi="Arial" w:cs="Arial"/>
                <w:sz w:val="20"/>
                <w:szCs w:val="20"/>
              </w:rPr>
            </w:pPr>
            <w:r>
              <w:rPr>
                <w:rFonts w:ascii="Arial" w:hAnsi="Arial" w:cs="Arial"/>
                <w:sz w:val="20"/>
                <w:szCs w:val="20"/>
              </w:rPr>
              <w:t>15</w:t>
            </w:r>
          </w:p>
        </w:tc>
        <w:tc>
          <w:tcPr>
            <w:tcW w:w="6558" w:type="dxa"/>
            <w:vAlign w:val="center"/>
          </w:tcPr>
          <w:p w:rsidR="00492F46" w:rsidRPr="00492F46" w:rsidRDefault="00492F46" w:rsidP="00492F46">
            <w:pPr>
              <w:tabs>
                <w:tab w:val="left" w:pos="270"/>
                <w:tab w:val="left" w:pos="864"/>
              </w:tabs>
              <w:rPr>
                <w:rFonts w:ascii="Arial" w:hAnsi="Arial" w:cs="Arial"/>
                <w:sz w:val="20"/>
                <w:szCs w:val="20"/>
              </w:rPr>
            </w:pPr>
            <w:r w:rsidRPr="00492F46">
              <w:rPr>
                <w:rFonts w:ascii="Arial" w:hAnsi="Arial" w:cs="Arial"/>
                <w:sz w:val="20"/>
                <w:szCs w:val="20"/>
              </w:rPr>
              <w:t>DBSA insourced the security workers</w:t>
            </w:r>
            <w:r>
              <w:rPr>
                <w:rFonts w:ascii="Arial" w:hAnsi="Arial" w:cs="Arial"/>
                <w:sz w:val="20"/>
                <w:szCs w:val="20"/>
              </w:rPr>
              <w:t xml:space="preserve"> </w:t>
            </w:r>
            <w:r w:rsidRPr="00492F46">
              <w:rPr>
                <w:rFonts w:ascii="Arial" w:hAnsi="Arial" w:cs="Arial"/>
                <w:sz w:val="20"/>
                <w:szCs w:val="20"/>
              </w:rPr>
              <w:t>July 2016</w:t>
            </w:r>
          </w:p>
        </w:tc>
      </w:tr>
      <w:tr w:rsidR="00492F46" w:rsidRPr="00492F46" w:rsidTr="00D10624">
        <w:trPr>
          <w:trHeight w:val="548"/>
        </w:trPr>
        <w:tc>
          <w:tcPr>
            <w:tcW w:w="1959" w:type="dxa"/>
            <w:vAlign w:val="center"/>
          </w:tcPr>
          <w:p w:rsidR="00492F46" w:rsidRPr="00492F46" w:rsidRDefault="00492F46" w:rsidP="00492F46">
            <w:pPr>
              <w:pStyle w:val="ListParagraph"/>
              <w:tabs>
                <w:tab w:val="left" w:pos="270"/>
                <w:tab w:val="left" w:pos="864"/>
              </w:tabs>
              <w:spacing w:line="360" w:lineRule="auto"/>
              <w:ind w:left="0"/>
              <w:rPr>
                <w:rFonts w:ascii="Arial" w:hAnsi="Arial" w:cs="Arial"/>
                <w:sz w:val="20"/>
                <w:szCs w:val="20"/>
              </w:rPr>
            </w:pPr>
            <w:r w:rsidRPr="00492F46">
              <w:rPr>
                <w:rFonts w:ascii="Arial" w:hAnsi="Arial" w:cs="Arial"/>
                <w:sz w:val="20"/>
                <w:szCs w:val="20"/>
              </w:rPr>
              <w:t>General workers</w:t>
            </w:r>
          </w:p>
        </w:tc>
        <w:tc>
          <w:tcPr>
            <w:tcW w:w="928" w:type="dxa"/>
            <w:vAlign w:val="center"/>
          </w:tcPr>
          <w:p w:rsidR="00492F46" w:rsidRPr="00492F46" w:rsidRDefault="00D10624" w:rsidP="00492F46">
            <w:pPr>
              <w:pStyle w:val="ListParagraph"/>
              <w:tabs>
                <w:tab w:val="left" w:pos="270"/>
                <w:tab w:val="left" w:pos="864"/>
              </w:tabs>
              <w:spacing w:line="360" w:lineRule="auto"/>
              <w:ind w:left="0"/>
              <w:jc w:val="center"/>
              <w:rPr>
                <w:rFonts w:ascii="Arial" w:hAnsi="Arial" w:cs="Arial"/>
                <w:sz w:val="20"/>
                <w:szCs w:val="20"/>
              </w:rPr>
            </w:pPr>
            <w:r>
              <w:rPr>
                <w:rFonts w:ascii="Arial" w:hAnsi="Arial" w:cs="Arial"/>
                <w:sz w:val="20"/>
                <w:szCs w:val="20"/>
              </w:rPr>
              <w:t>22</w:t>
            </w:r>
          </w:p>
        </w:tc>
        <w:tc>
          <w:tcPr>
            <w:tcW w:w="6558" w:type="dxa"/>
            <w:vAlign w:val="center"/>
          </w:tcPr>
          <w:p w:rsidR="00492F46" w:rsidRPr="00492F46" w:rsidRDefault="00492F46" w:rsidP="00592C37">
            <w:pPr>
              <w:pStyle w:val="ListParagraph"/>
              <w:tabs>
                <w:tab w:val="left" w:pos="270"/>
                <w:tab w:val="left" w:pos="864"/>
              </w:tabs>
              <w:ind w:left="0"/>
              <w:rPr>
                <w:rFonts w:ascii="Arial" w:hAnsi="Arial" w:cs="Arial"/>
                <w:sz w:val="20"/>
                <w:szCs w:val="20"/>
              </w:rPr>
            </w:pPr>
            <w:r>
              <w:rPr>
                <w:rFonts w:ascii="Arial" w:hAnsi="Arial" w:cs="Arial"/>
                <w:sz w:val="20"/>
                <w:szCs w:val="20"/>
              </w:rPr>
              <w:t>Consist of all Facilities</w:t>
            </w:r>
            <w:r w:rsidR="002C74BD">
              <w:rPr>
                <w:rFonts w:ascii="Arial" w:hAnsi="Arial" w:cs="Arial"/>
                <w:sz w:val="20"/>
                <w:szCs w:val="20"/>
              </w:rPr>
              <w:t>’</w:t>
            </w:r>
            <w:r>
              <w:rPr>
                <w:rFonts w:ascii="Arial" w:hAnsi="Arial" w:cs="Arial"/>
                <w:sz w:val="20"/>
                <w:szCs w:val="20"/>
              </w:rPr>
              <w:t xml:space="preserve"> workers excluding Manager</w:t>
            </w:r>
            <w:r w:rsidR="00D10624">
              <w:rPr>
                <w:rFonts w:ascii="Arial" w:hAnsi="Arial" w:cs="Arial"/>
                <w:sz w:val="20"/>
                <w:szCs w:val="20"/>
              </w:rPr>
              <w:t xml:space="preserve">, </w:t>
            </w:r>
            <w:r>
              <w:rPr>
                <w:rFonts w:ascii="Arial" w:hAnsi="Arial" w:cs="Arial"/>
                <w:sz w:val="20"/>
                <w:szCs w:val="20"/>
              </w:rPr>
              <w:t>Supervisors</w:t>
            </w:r>
            <w:r w:rsidR="00592C37">
              <w:rPr>
                <w:rFonts w:ascii="Arial" w:hAnsi="Arial" w:cs="Arial"/>
                <w:sz w:val="20"/>
                <w:szCs w:val="20"/>
              </w:rPr>
              <w:t xml:space="preserve">, </w:t>
            </w:r>
            <w:r w:rsidR="00D10624">
              <w:rPr>
                <w:rFonts w:ascii="Arial" w:hAnsi="Arial" w:cs="Arial"/>
                <w:sz w:val="20"/>
                <w:szCs w:val="20"/>
              </w:rPr>
              <w:t>Cleaning and Security staff</w:t>
            </w:r>
            <w:r w:rsidR="002718FB">
              <w:rPr>
                <w:rFonts w:ascii="Arial" w:hAnsi="Arial" w:cs="Arial"/>
                <w:sz w:val="20"/>
                <w:szCs w:val="20"/>
              </w:rPr>
              <w:t xml:space="preserve"> – </w:t>
            </w:r>
            <w:r w:rsidR="002C74BD">
              <w:rPr>
                <w:rFonts w:ascii="Arial" w:hAnsi="Arial" w:cs="Arial"/>
                <w:sz w:val="20"/>
                <w:szCs w:val="20"/>
              </w:rPr>
              <w:t xml:space="preserve">general workers </w:t>
            </w:r>
            <w:r w:rsidR="002718FB">
              <w:rPr>
                <w:rFonts w:ascii="Arial" w:hAnsi="Arial" w:cs="Arial"/>
                <w:sz w:val="20"/>
                <w:szCs w:val="20"/>
              </w:rPr>
              <w:t>always permanent employees of DBSA</w:t>
            </w:r>
          </w:p>
        </w:tc>
      </w:tr>
    </w:tbl>
    <w:p w:rsidR="00492F46" w:rsidRPr="00492F46" w:rsidRDefault="00492F46" w:rsidP="00492F46">
      <w:pPr>
        <w:pStyle w:val="ListParagraph"/>
        <w:tabs>
          <w:tab w:val="left" w:pos="270"/>
          <w:tab w:val="left" w:pos="864"/>
        </w:tabs>
        <w:spacing w:line="360" w:lineRule="auto"/>
        <w:ind w:left="360"/>
        <w:rPr>
          <w:rFonts w:ascii="Arial" w:hAnsi="Arial" w:cs="Arial"/>
          <w:b/>
          <w:sz w:val="22"/>
          <w:szCs w:val="22"/>
        </w:rPr>
      </w:pPr>
    </w:p>
    <w:p w:rsidR="00566101" w:rsidRPr="00D10624" w:rsidRDefault="005A1746" w:rsidP="00053D17">
      <w:pPr>
        <w:tabs>
          <w:tab w:val="left" w:pos="432"/>
          <w:tab w:val="left" w:pos="864"/>
        </w:tabs>
        <w:spacing w:line="360" w:lineRule="auto"/>
        <w:rPr>
          <w:rFonts w:ascii="Arial" w:hAnsi="Arial" w:cs="Arial"/>
          <w:sz w:val="22"/>
          <w:szCs w:val="22"/>
        </w:rPr>
      </w:pPr>
      <w:r>
        <w:rPr>
          <w:rFonts w:ascii="Arial" w:hAnsi="Arial" w:cs="Arial"/>
          <w:b/>
          <w:sz w:val="22"/>
          <w:szCs w:val="22"/>
        </w:rPr>
        <w:t>Total amount spend</w:t>
      </w:r>
      <w:r w:rsidR="00D9370D">
        <w:rPr>
          <w:rFonts w:ascii="Arial" w:hAnsi="Arial" w:cs="Arial"/>
          <w:b/>
          <w:sz w:val="22"/>
          <w:szCs w:val="22"/>
        </w:rPr>
        <w:t xml:space="preserve"> FY 2018/19</w:t>
      </w:r>
      <w:r>
        <w:rPr>
          <w:rFonts w:ascii="Arial" w:hAnsi="Arial" w:cs="Arial"/>
          <w:b/>
          <w:sz w:val="22"/>
          <w:szCs w:val="22"/>
        </w:rPr>
        <w:t>:</w:t>
      </w:r>
      <w:r w:rsidR="00D10624">
        <w:rPr>
          <w:rFonts w:ascii="Arial" w:hAnsi="Arial" w:cs="Arial"/>
          <w:b/>
          <w:sz w:val="22"/>
          <w:szCs w:val="22"/>
        </w:rPr>
        <w:t xml:space="preserve"> </w:t>
      </w:r>
      <w:r w:rsidR="00D10624" w:rsidRPr="00D10624">
        <w:rPr>
          <w:rFonts w:ascii="Arial" w:hAnsi="Arial" w:cs="Arial"/>
          <w:sz w:val="22"/>
          <w:szCs w:val="22"/>
        </w:rPr>
        <w:t>(Total Cost to Bank)</w:t>
      </w:r>
    </w:p>
    <w:tbl>
      <w:tblPr>
        <w:tblStyle w:val="TableGrid"/>
        <w:tblW w:w="6025" w:type="dxa"/>
        <w:tblInd w:w="360" w:type="dxa"/>
        <w:tblLook w:val="04A0" w:firstRow="1" w:lastRow="0" w:firstColumn="1" w:lastColumn="0" w:noHBand="0" w:noVBand="1"/>
      </w:tblPr>
      <w:tblGrid>
        <w:gridCol w:w="3415"/>
        <w:gridCol w:w="2610"/>
      </w:tblGrid>
      <w:tr w:rsidR="00D10624" w:rsidRPr="00492F46" w:rsidTr="00D10624">
        <w:trPr>
          <w:trHeight w:val="458"/>
        </w:trPr>
        <w:tc>
          <w:tcPr>
            <w:tcW w:w="3415" w:type="dxa"/>
            <w:shd w:val="clear" w:color="auto" w:fill="D9D9D9" w:themeFill="background1" w:themeFillShade="D9"/>
            <w:vAlign w:val="center"/>
          </w:tcPr>
          <w:p w:rsidR="00D10624" w:rsidRPr="00492F46" w:rsidRDefault="00D10624" w:rsidP="00D10624">
            <w:pPr>
              <w:pStyle w:val="ListParagraph"/>
              <w:tabs>
                <w:tab w:val="left" w:pos="270"/>
                <w:tab w:val="left" w:pos="864"/>
              </w:tabs>
              <w:spacing w:line="360" w:lineRule="auto"/>
              <w:ind w:left="0"/>
              <w:jc w:val="center"/>
              <w:rPr>
                <w:rFonts w:ascii="Arial" w:hAnsi="Arial" w:cs="Arial"/>
                <w:sz w:val="20"/>
                <w:szCs w:val="20"/>
              </w:rPr>
            </w:pPr>
            <w:r w:rsidRPr="00492F46">
              <w:rPr>
                <w:rFonts w:ascii="Arial" w:hAnsi="Arial" w:cs="Arial"/>
                <w:sz w:val="20"/>
                <w:szCs w:val="20"/>
              </w:rPr>
              <w:t>Personnel</w:t>
            </w:r>
          </w:p>
        </w:tc>
        <w:tc>
          <w:tcPr>
            <w:tcW w:w="2610" w:type="dxa"/>
            <w:shd w:val="clear" w:color="auto" w:fill="D9D9D9" w:themeFill="background1" w:themeFillShade="D9"/>
            <w:vAlign w:val="center"/>
          </w:tcPr>
          <w:p w:rsidR="00D10624" w:rsidRPr="00492F46" w:rsidRDefault="00D10624" w:rsidP="00D10624">
            <w:pPr>
              <w:pStyle w:val="ListParagraph"/>
              <w:tabs>
                <w:tab w:val="left" w:pos="270"/>
                <w:tab w:val="left" w:pos="864"/>
              </w:tabs>
              <w:spacing w:line="360" w:lineRule="auto"/>
              <w:ind w:left="0"/>
              <w:jc w:val="center"/>
              <w:rPr>
                <w:rFonts w:ascii="Arial" w:hAnsi="Arial" w:cs="Arial"/>
                <w:sz w:val="20"/>
                <w:szCs w:val="20"/>
              </w:rPr>
            </w:pPr>
            <w:r>
              <w:rPr>
                <w:rFonts w:ascii="Arial" w:hAnsi="Arial" w:cs="Arial"/>
                <w:sz w:val="20"/>
                <w:szCs w:val="20"/>
              </w:rPr>
              <w:t>Rand</w:t>
            </w:r>
          </w:p>
        </w:tc>
      </w:tr>
      <w:tr w:rsidR="00D10624" w:rsidRPr="00492F46" w:rsidTr="00D10624">
        <w:trPr>
          <w:trHeight w:val="491"/>
        </w:trPr>
        <w:tc>
          <w:tcPr>
            <w:tcW w:w="3415" w:type="dxa"/>
            <w:vAlign w:val="center"/>
          </w:tcPr>
          <w:p w:rsidR="00D10624" w:rsidRPr="00492F46" w:rsidRDefault="00D10624" w:rsidP="00D10624">
            <w:pPr>
              <w:pStyle w:val="ListParagraph"/>
              <w:tabs>
                <w:tab w:val="left" w:pos="270"/>
                <w:tab w:val="left" w:pos="864"/>
              </w:tabs>
              <w:spacing w:line="360" w:lineRule="auto"/>
              <w:ind w:left="0"/>
              <w:rPr>
                <w:rFonts w:ascii="Arial" w:hAnsi="Arial" w:cs="Arial"/>
                <w:sz w:val="20"/>
                <w:szCs w:val="20"/>
              </w:rPr>
            </w:pPr>
            <w:r w:rsidRPr="00492F46">
              <w:rPr>
                <w:rFonts w:ascii="Arial" w:hAnsi="Arial" w:cs="Arial"/>
                <w:sz w:val="20"/>
                <w:szCs w:val="20"/>
              </w:rPr>
              <w:t>Cleaning</w:t>
            </w:r>
          </w:p>
        </w:tc>
        <w:tc>
          <w:tcPr>
            <w:tcW w:w="2610" w:type="dxa"/>
            <w:vAlign w:val="center"/>
          </w:tcPr>
          <w:p w:rsidR="00D10624" w:rsidRPr="00713707" w:rsidRDefault="00713707" w:rsidP="00713707">
            <w:pPr>
              <w:jc w:val="center"/>
              <w:rPr>
                <w:rFonts w:ascii="Calibri" w:hAnsi="Calibri" w:cs="Calibri"/>
                <w:color w:val="000000"/>
                <w:sz w:val="22"/>
                <w:szCs w:val="22"/>
              </w:rPr>
            </w:pPr>
            <w:r w:rsidRPr="00713707">
              <w:rPr>
                <w:rFonts w:ascii="Calibri" w:hAnsi="Calibri" w:cs="Calibri"/>
                <w:color w:val="000000"/>
                <w:sz w:val="22"/>
                <w:szCs w:val="22"/>
              </w:rPr>
              <w:t>3</w:t>
            </w:r>
            <w:r>
              <w:rPr>
                <w:rFonts w:ascii="Calibri" w:hAnsi="Calibri" w:cs="Calibri"/>
                <w:color w:val="000000"/>
                <w:sz w:val="22"/>
                <w:szCs w:val="22"/>
              </w:rPr>
              <w:t>,</w:t>
            </w:r>
            <w:r w:rsidRPr="00713707">
              <w:rPr>
                <w:rFonts w:ascii="Calibri" w:hAnsi="Calibri" w:cs="Calibri"/>
                <w:color w:val="000000"/>
                <w:sz w:val="22"/>
                <w:szCs w:val="22"/>
              </w:rPr>
              <w:t>425</w:t>
            </w:r>
            <w:r>
              <w:rPr>
                <w:rFonts w:ascii="Calibri" w:hAnsi="Calibri" w:cs="Calibri"/>
                <w:color w:val="000000"/>
                <w:sz w:val="22"/>
                <w:szCs w:val="22"/>
              </w:rPr>
              <w:t>,</w:t>
            </w:r>
            <w:r w:rsidRPr="00713707">
              <w:rPr>
                <w:rFonts w:ascii="Calibri" w:hAnsi="Calibri" w:cs="Calibri"/>
                <w:color w:val="000000"/>
                <w:sz w:val="22"/>
                <w:szCs w:val="22"/>
              </w:rPr>
              <w:t>033</w:t>
            </w:r>
          </w:p>
        </w:tc>
      </w:tr>
      <w:tr w:rsidR="00D10624" w:rsidRPr="00492F46" w:rsidTr="00D10624">
        <w:trPr>
          <w:trHeight w:val="491"/>
        </w:trPr>
        <w:tc>
          <w:tcPr>
            <w:tcW w:w="3415" w:type="dxa"/>
            <w:vAlign w:val="center"/>
          </w:tcPr>
          <w:p w:rsidR="00D10624" w:rsidRPr="00492F46" w:rsidRDefault="00D10624" w:rsidP="00D10624">
            <w:pPr>
              <w:pStyle w:val="ListParagraph"/>
              <w:tabs>
                <w:tab w:val="left" w:pos="270"/>
                <w:tab w:val="left" w:pos="864"/>
              </w:tabs>
              <w:spacing w:line="360" w:lineRule="auto"/>
              <w:ind w:left="0"/>
              <w:rPr>
                <w:rFonts w:ascii="Arial" w:hAnsi="Arial" w:cs="Arial"/>
                <w:sz w:val="20"/>
                <w:szCs w:val="20"/>
              </w:rPr>
            </w:pPr>
            <w:r w:rsidRPr="00492F46">
              <w:rPr>
                <w:rFonts w:ascii="Arial" w:hAnsi="Arial" w:cs="Arial"/>
                <w:sz w:val="20"/>
                <w:szCs w:val="20"/>
              </w:rPr>
              <w:t>Security</w:t>
            </w:r>
          </w:p>
        </w:tc>
        <w:tc>
          <w:tcPr>
            <w:tcW w:w="2610" w:type="dxa"/>
            <w:vAlign w:val="center"/>
          </w:tcPr>
          <w:p w:rsidR="00D10624" w:rsidRPr="00492F46" w:rsidRDefault="00713707" w:rsidP="00713707">
            <w:pPr>
              <w:pStyle w:val="ListParagraph"/>
              <w:tabs>
                <w:tab w:val="left" w:pos="270"/>
                <w:tab w:val="left" w:pos="864"/>
              </w:tabs>
              <w:spacing w:line="360" w:lineRule="auto"/>
              <w:ind w:left="0"/>
              <w:jc w:val="center"/>
              <w:rPr>
                <w:rFonts w:ascii="Arial" w:hAnsi="Arial" w:cs="Arial"/>
                <w:sz w:val="20"/>
                <w:szCs w:val="20"/>
              </w:rPr>
            </w:pPr>
            <w:r w:rsidRPr="00713707">
              <w:rPr>
                <w:rFonts w:ascii="Arial" w:hAnsi="Arial" w:cs="Arial"/>
                <w:sz w:val="20"/>
                <w:szCs w:val="20"/>
              </w:rPr>
              <w:t>6</w:t>
            </w:r>
            <w:r>
              <w:rPr>
                <w:rFonts w:ascii="Arial" w:hAnsi="Arial" w:cs="Arial"/>
                <w:sz w:val="20"/>
                <w:szCs w:val="20"/>
              </w:rPr>
              <w:t>,</w:t>
            </w:r>
            <w:r w:rsidRPr="00713707">
              <w:rPr>
                <w:rFonts w:ascii="Arial" w:hAnsi="Arial" w:cs="Arial"/>
                <w:sz w:val="20"/>
                <w:szCs w:val="20"/>
              </w:rPr>
              <w:t>402</w:t>
            </w:r>
            <w:r>
              <w:rPr>
                <w:rFonts w:ascii="Arial" w:hAnsi="Arial" w:cs="Arial"/>
                <w:sz w:val="20"/>
                <w:szCs w:val="20"/>
              </w:rPr>
              <w:t>,</w:t>
            </w:r>
            <w:r w:rsidRPr="00713707">
              <w:rPr>
                <w:rFonts w:ascii="Arial" w:hAnsi="Arial" w:cs="Arial"/>
                <w:sz w:val="20"/>
                <w:szCs w:val="20"/>
              </w:rPr>
              <w:t>059</w:t>
            </w:r>
          </w:p>
        </w:tc>
      </w:tr>
      <w:tr w:rsidR="00D10624" w:rsidRPr="00492F46" w:rsidTr="00D10624">
        <w:trPr>
          <w:trHeight w:val="491"/>
        </w:trPr>
        <w:tc>
          <w:tcPr>
            <w:tcW w:w="3415" w:type="dxa"/>
            <w:vAlign w:val="center"/>
          </w:tcPr>
          <w:p w:rsidR="00D10624" w:rsidRPr="00492F46" w:rsidRDefault="00D10624" w:rsidP="004E4DB7">
            <w:pPr>
              <w:pStyle w:val="ListParagraph"/>
              <w:tabs>
                <w:tab w:val="left" w:pos="270"/>
                <w:tab w:val="left" w:pos="864"/>
              </w:tabs>
              <w:spacing w:line="360" w:lineRule="auto"/>
              <w:ind w:left="0"/>
              <w:rPr>
                <w:rFonts w:ascii="Arial" w:hAnsi="Arial" w:cs="Arial"/>
                <w:sz w:val="20"/>
                <w:szCs w:val="20"/>
              </w:rPr>
            </w:pPr>
            <w:r w:rsidRPr="00492F46">
              <w:rPr>
                <w:rFonts w:ascii="Arial" w:hAnsi="Arial" w:cs="Arial"/>
                <w:sz w:val="20"/>
                <w:szCs w:val="20"/>
              </w:rPr>
              <w:t>General workers</w:t>
            </w:r>
          </w:p>
        </w:tc>
        <w:tc>
          <w:tcPr>
            <w:tcW w:w="2610" w:type="dxa"/>
            <w:vAlign w:val="center"/>
          </w:tcPr>
          <w:p w:rsidR="00D10624" w:rsidRPr="00492F46" w:rsidRDefault="002C74BD" w:rsidP="002C74BD">
            <w:pPr>
              <w:pStyle w:val="ListParagraph"/>
              <w:tabs>
                <w:tab w:val="left" w:pos="270"/>
                <w:tab w:val="left" w:pos="864"/>
              </w:tabs>
              <w:spacing w:line="360" w:lineRule="auto"/>
              <w:ind w:left="0"/>
              <w:jc w:val="center"/>
              <w:rPr>
                <w:rFonts w:ascii="Arial" w:hAnsi="Arial" w:cs="Arial"/>
                <w:sz w:val="20"/>
                <w:szCs w:val="20"/>
              </w:rPr>
            </w:pPr>
            <w:r w:rsidRPr="002C74BD">
              <w:rPr>
                <w:rFonts w:ascii="Arial" w:hAnsi="Arial" w:cs="Arial"/>
                <w:sz w:val="20"/>
                <w:szCs w:val="20"/>
              </w:rPr>
              <w:t>5</w:t>
            </w:r>
            <w:r>
              <w:rPr>
                <w:rFonts w:ascii="Arial" w:hAnsi="Arial" w:cs="Arial"/>
                <w:sz w:val="20"/>
                <w:szCs w:val="20"/>
              </w:rPr>
              <w:t>,</w:t>
            </w:r>
            <w:r w:rsidRPr="002C74BD">
              <w:rPr>
                <w:rFonts w:ascii="Arial" w:hAnsi="Arial" w:cs="Arial"/>
                <w:sz w:val="20"/>
                <w:szCs w:val="20"/>
              </w:rPr>
              <w:t>158</w:t>
            </w:r>
            <w:r>
              <w:rPr>
                <w:rFonts w:ascii="Arial" w:hAnsi="Arial" w:cs="Arial"/>
                <w:sz w:val="20"/>
                <w:szCs w:val="20"/>
              </w:rPr>
              <w:t>,</w:t>
            </w:r>
            <w:r w:rsidRPr="002C74BD">
              <w:rPr>
                <w:rFonts w:ascii="Arial" w:hAnsi="Arial" w:cs="Arial"/>
                <w:sz w:val="20"/>
                <w:szCs w:val="20"/>
              </w:rPr>
              <w:t>569</w:t>
            </w:r>
          </w:p>
        </w:tc>
      </w:tr>
    </w:tbl>
    <w:p w:rsidR="00492F46" w:rsidRPr="00D10624" w:rsidRDefault="00492F46" w:rsidP="00D10624">
      <w:pPr>
        <w:tabs>
          <w:tab w:val="left" w:pos="432"/>
          <w:tab w:val="left" w:pos="864"/>
        </w:tabs>
        <w:spacing w:line="360" w:lineRule="auto"/>
        <w:ind w:left="-90"/>
        <w:rPr>
          <w:rFonts w:ascii="Arial" w:eastAsia="Calibri" w:hAnsi="Arial" w:cs="Arial"/>
          <w:sz w:val="22"/>
          <w:szCs w:val="22"/>
          <w:lang w:val="en-ZA"/>
        </w:rPr>
      </w:pPr>
    </w:p>
    <w:p w:rsidR="00492F46" w:rsidRPr="00D10624" w:rsidRDefault="00492F46" w:rsidP="00D10624">
      <w:pPr>
        <w:tabs>
          <w:tab w:val="left" w:pos="432"/>
          <w:tab w:val="left" w:pos="864"/>
        </w:tabs>
        <w:spacing w:line="360" w:lineRule="auto"/>
        <w:ind w:left="-90"/>
        <w:rPr>
          <w:rFonts w:ascii="Arial" w:eastAsia="Calibri" w:hAnsi="Arial" w:cs="Arial"/>
          <w:sz w:val="22"/>
          <w:szCs w:val="22"/>
          <w:lang w:val="en-ZA"/>
        </w:rPr>
      </w:pPr>
    </w:p>
    <w:p w:rsidR="00566101" w:rsidRDefault="00E41B88" w:rsidP="008F7BB0">
      <w:pPr>
        <w:tabs>
          <w:tab w:val="left" w:pos="432"/>
          <w:tab w:val="left" w:pos="864"/>
        </w:tabs>
        <w:spacing w:line="360" w:lineRule="auto"/>
        <w:ind w:left="270"/>
        <w:rPr>
          <w:rFonts w:ascii="Arial" w:hAnsi="Arial" w:cs="Arial"/>
          <w:b/>
          <w:sz w:val="22"/>
          <w:szCs w:val="22"/>
          <w:u w:val="single"/>
        </w:rPr>
      </w:pPr>
      <w:r>
        <w:rPr>
          <w:rFonts w:ascii="Arial" w:hAnsi="Arial" w:cs="Arial"/>
          <w:b/>
          <w:sz w:val="22"/>
          <w:szCs w:val="22"/>
          <w:u w:val="single"/>
        </w:rPr>
        <w:lastRenderedPageBreak/>
        <w:t>SARS</w:t>
      </w:r>
    </w:p>
    <w:p w:rsidR="00E41B88" w:rsidRDefault="00E41B88" w:rsidP="008F7BB0">
      <w:pPr>
        <w:tabs>
          <w:tab w:val="left" w:pos="432"/>
          <w:tab w:val="left" w:pos="864"/>
        </w:tabs>
        <w:spacing w:line="360" w:lineRule="auto"/>
        <w:ind w:left="270"/>
        <w:rPr>
          <w:rFonts w:ascii="Arial" w:hAnsi="Arial" w:cs="Arial"/>
          <w:b/>
          <w:sz w:val="22"/>
          <w:szCs w:val="22"/>
          <w:u w:val="single"/>
        </w:rPr>
      </w:pPr>
    </w:p>
    <w:p w:rsidR="00E41B88" w:rsidRDefault="00E41B88" w:rsidP="00E41B88">
      <w:pPr>
        <w:pStyle w:val="ListParagraph"/>
        <w:numPr>
          <w:ilvl w:val="0"/>
          <w:numId w:val="15"/>
        </w:numPr>
        <w:spacing w:before="100" w:beforeAutospacing="1" w:after="100" w:afterAutospacing="1" w:line="360" w:lineRule="auto"/>
        <w:ind w:left="709" w:hanging="709"/>
        <w:jc w:val="both"/>
        <w:outlineLvl w:val="0"/>
        <w:rPr>
          <w:rFonts w:ascii="Arial" w:hAnsi="Arial" w:cs="Arial"/>
          <w:sz w:val="22"/>
          <w:szCs w:val="22"/>
        </w:rPr>
      </w:pPr>
      <w:r>
        <w:rPr>
          <w:rFonts w:ascii="Arial" w:hAnsi="Arial" w:cs="Arial"/>
          <w:sz w:val="22"/>
          <w:szCs w:val="22"/>
        </w:rPr>
        <w:t xml:space="preserve">SARS has contracted, through service providers, </w:t>
      </w:r>
    </w:p>
    <w:p w:rsidR="00E41B88" w:rsidRDefault="00E41B88" w:rsidP="00E41B88">
      <w:pPr>
        <w:pStyle w:val="ListParagraph"/>
        <w:spacing w:before="100" w:beforeAutospacing="1" w:after="100" w:afterAutospacing="1" w:line="360" w:lineRule="auto"/>
        <w:ind w:left="284"/>
        <w:jc w:val="both"/>
        <w:outlineLvl w:val="0"/>
        <w:rPr>
          <w:rFonts w:ascii="Arial" w:hAnsi="Arial" w:cs="Arial"/>
          <w:sz w:val="22"/>
          <w:szCs w:val="22"/>
        </w:rPr>
      </w:pPr>
    </w:p>
    <w:p w:rsidR="00E41B88" w:rsidRDefault="00E41B88" w:rsidP="00E41B88">
      <w:pPr>
        <w:pStyle w:val="ListParagraph"/>
        <w:numPr>
          <w:ilvl w:val="0"/>
          <w:numId w:val="16"/>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eight hundred and thirty one (831) security officers on a contractual basis and one </w:t>
      </w:r>
    </w:p>
    <w:p w:rsidR="00E41B88" w:rsidRDefault="00E41B88" w:rsidP="00E41B88">
      <w:pPr>
        <w:pStyle w:val="ListParagraph"/>
        <w:spacing w:before="100" w:beforeAutospacing="1" w:after="100" w:afterAutospacing="1" w:line="360" w:lineRule="auto"/>
        <w:ind w:left="734"/>
        <w:jc w:val="both"/>
        <w:outlineLvl w:val="0"/>
        <w:rPr>
          <w:rFonts w:ascii="Arial" w:hAnsi="Arial" w:cs="Arial"/>
          <w:sz w:val="22"/>
          <w:szCs w:val="22"/>
        </w:rPr>
      </w:pPr>
      <w:r>
        <w:rPr>
          <w:rFonts w:ascii="Arial" w:hAnsi="Arial" w:cs="Arial"/>
          <w:sz w:val="22"/>
          <w:szCs w:val="22"/>
        </w:rPr>
        <w:t>hundred and seventy (170) on an ad-hoc basis for annual SARS peak periods that include the tax filing season and the festive season increase experienced at Ports of Entries;</w:t>
      </w:r>
    </w:p>
    <w:p w:rsidR="00E41B88" w:rsidRDefault="00E41B88" w:rsidP="00E41B88">
      <w:pPr>
        <w:pStyle w:val="ListParagraph"/>
        <w:spacing w:before="100" w:beforeAutospacing="1" w:after="100" w:afterAutospacing="1" w:line="360" w:lineRule="auto"/>
        <w:ind w:left="734"/>
        <w:jc w:val="both"/>
        <w:outlineLvl w:val="0"/>
        <w:rPr>
          <w:rFonts w:ascii="Arial" w:hAnsi="Arial" w:cs="Arial"/>
          <w:sz w:val="22"/>
          <w:szCs w:val="22"/>
        </w:rPr>
      </w:pPr>
    </w:p>
    <w:p w:rsidR="00E41B88" w:rsidRDefault="00E41B88" w:rsidP="00E41B88">
      <w:pPr>
        <w:pStyle w:val="ListParagraph"/>
        <w:numPr>
          <w:ilvl w:val="0"/>
          <w:numId w:val="16"/>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seven hundred and sixty nine (769) cleaning personnel deployed by the appointed service providers for the SARS offices nationally;</w:t>
      </w:r>
    </w:p>
    <w:p w:rsidR="00E41B88" w:rsidRDefault="00E41B88" w:rsidP="00E41B88">
      <w:pPr>
        <w:pStyle w:val="ListParagraph"/>
        <w:spacing w:before="100" w:beforeAutospacing="1" w:after="100" w:afterAutospacing="1" w:line="360" w:lineRule="auto"/>
        <w:ind w:left="734"/>
        <w:jc w:val="both"/>
        <w:outlineLvl w:val="0"/>
        <w:rPr>
          <w:rFonts w:ascii="Arial" w:hAnsi="Arial" w:cs="Arial"/>
          <w:sz w:val="22"/>
          <w:szCs w:val="22"/>
        </w:rPr>
      </w:pPr>
    </w:p>
    <w:p w:rsidR="00E41B88" w:rsidRDefault="00E41B88" w:rsidP="00E41B88">
      <w:pPr>
        <w:pStyle w:val="ListParagraph"/>
        <w:numPr>
          <w:ilvl w:val="0"/>
          <w:numId w:val="16"/>
        </w:numPr>
        <w:spacing w:before="100" w:beforeAutospacing="1" w:after="100" w:afterAutospacing="1" w:line="360" w:lineRule="auto"/>
        <w:jc w:val="both"/>
        <w:outlineLvl w:val="0"/>
        <w:rPr>
          <w:rFonts w:ascii="Arial" w:hAnsi="Arial" w:cs="Arial"/>
          <w:sz w:val="22"/>
          <w:szCs w:val="22"/>
          <w:u w:val="single"/>
        </w:rPr>
      </w:pPr>
      <w:r>
        <w:rPr>
          <w:rFonts w:ascii="Arial" w:hAnsi="Arial" w:cs="Arial"/>
          <w:sz w:val="22"/>
          <w:szCs w:val="22"/>
        </w:rPr>
        <w:t xml:space="preserve">no general workers are contracted by SARS. </w:t>
      </w:r>
    </w:p>
    <w:p w:rsidR="00E41B88" w:rsidRDefault="00E41B88" w:rsidP="00E41B88">
      <w:pPr>
        <w:pStyle w:val="ListParagraph"/>
        <w:rPr>
          <w:rFonts w:ascii="Arial" w:hAnsi="Arial" w:cs="Arial"/>
          <w:sz w:val="22"/>
          <w:szCs w:val="22"/>
          <w:u w:val="single"/>
        </w:rPr>
      </w:pPr>
    </w:p>
    <w:p w:rsidR="00E41B88" w:rsidRDefault="00E41B88" w:rsidP="00E41B88">
      <w:pPr>
        <w:pStyle w:val="ListParagraph"/>
        <w:spacing w:before="100" w:beforeAutospacing="1" w:after="100" w:afterAutospacing="1" w:line="360" w:lineRule="auto"/>
        <w:ind w:left="734"/>
        <w:jc w:val="both"/>
        <w:outlineLvl w:val="0"/>
        <w:rPr>
          <w:rFonts w:ascii="Arial" w:hAnsi="Arial" w:cs="Arial"/>
          <w:sz w:val="22"/>
          <w:szCs w:val="22"/>
          <w:u w:val="single"/>
        </w:rPr>
      </w:pPr>
    </w:p>
    <w:p w:rsidR="00E41B88" w:rsidRDefault="00E41B88" w:rsidP="00E41B88">
      <w:pPr>
        <w:pStyle w:val="ListParagraph"/>
        <w:numPr>
          <w:ilvl w:val="0"/>
          <w:numId w:val="15"/>
        </w:numPr>
        <w:tabs>
          <w:tab w:val="left" w:pos="709"/>
          <w:tab w:val="left" w:pos="864"/>
        </w:tabs>
        <w:spacing w:before="100" w:beforeAutospacing="1" w:after="100" w:afterAutospacing="1" w:line="360" w:lineRule="auto"/>
        <w:ind w:hanging="720"/>
        <w:jc w:val="both"/>
        <w:outlineLvl w:val="0"/>
        <w:rPr>
          <w:rFonts w:ascii="Arial" w:hAnsi="Arial" w:cs="Arial"/>
          <w:sz w:val="22"/>
          <w:szCs w:val="22"/>
        </w:rPr>
      </w:pPr>
      <w:r>
        <w:rPr>
          <w:rFonts w:ascii="Arial" w:hAnsi="Arial" w:cs="Arial"/>
          <w:sz w:val="22"/>
          <w:szCs w:val="22"/>
          <w:lang w:val="en-ZA"/>
        </w:rPr>
        <w:t xml:space="preserve">Estimated spend on security service providers who are contracted to safeguard all SARS buildings, facilities and infrastructure is approximately R150 million per annum. </w:t>
      </w:r>
      <w:r>
        <w:rPr>
          <w:rFonts w:ascii="Arial" w:hAnsi="Arial" w:cs="Arial"/>
          <w:sz w:val="22"/>
          <w:szCs w:val="22"/>
        </w:rPr>
        <w:t xml:space="preserve">SARS spends on average R69.6 million per annum on cleaning services nationally. SARS has not contracted any general workers through service providers; therefore no spending has been done in this regard. </w:t>
      </w:r>
    </w:p>
    <w:p w:rsidR="00E41B88" w:rsidRDefault="00E41B88" w:rsidP="008F7BB0">
      <w:pPr>
        <w:tabs>
          <w:tab w:val="left" w:pos="432"/>
          <w:tab w:val="left" w:pos="864"/>
        </w:tabs>
        <w:spacing w:line="360" w:lineRule="auto"/>
        <w:ind w:left="270"/>
        <w:rPr>
          <w:rFonts w:ascii="Arial" w:hAnsi="Arial" w:cs="Arial"/>
          <w:b/>
          <w:sz w:val="22"/>
          <w:szCs w:val="22"/>
          <w:u w:val="single"/>
        </w:rPr>
      </w:pPr>
    </w:p>
    <w:p w:rsidR="00E41B88" w:rsidRDefault="00E41B88" w:rsidP="008F7BB0">
      <w:pPr>
        <w:tabs>
          <w:tab w:val="left" w:pos="432"/>
          <w:tab w:val="left" w:pos="864"/>
        </w:tabs>
        <w:spacing w:line="360" w:lineRule="auto"/>
        <w:ind w:left="270"/>
        <w:rPr>
          <w:rFonts w:ascii="Arial" w:hAnsi="Arial" w:cs="Arial"/>
          <w:b/>
          <w:sz w:val="22"/>
          <w:szCs w:val="22"/>
          <w:u w:val="single"/>
        </w:rPr>
      </w:pPr>
    </w:p>
    <w:p w:rsidR="00E41B88" w:rsidRDefault="00E41B88" w:rsidP="008F7BB0">
      <w:pPr>
        <w:tabs>
          <w:tab w:val="left" w:pos="432"/>
          <w:tab w:val="left" w:pos="864"/>
        </w:tabs>
        <w:spacing w:line="360" w:lineRule="auto"/>
        <w:ind w:left="270"/>
        <w:rPr>
          <w:rFonts w:ascii="Arial" w:hAnsi="Arial" w:cs="Arial"/>
          <w:b/>
          <w:sz w:val="22"/>
          <w:szCs w:val="22"/>
          <w:u w:val="single"/>
        </w:rPr>
      </w:pPr>
      <w:bookmarkStart w:id="0" w:name="_GoBack"/>
      <w:bookmarkEnd w:id="0"/>
    </w:p>
    <w:sectPr w:rsidR="00E41B88"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77" w:rsidRDefault="003F0D77" w:rsidP="00380E88">
      <w:r>
        <w:separator/>
      </w:r>
    </w:p>
  </w:endnote>
  <w:endnote w:type="continuationSeparator" w:id="0">
    <w:p w:rsidR="003F0D77" w:rsidRDefault="003F0D77"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77" w:rsidRDefault="003F0D77" w:rsidP="00380E88">
      <w:r>
        <w:separator/>
      </w:r>
    </w:p>
  </w:footnote>
  <w:footnote w:type="continuationSeparator" w:id="0">
    <w:p w:rsidR="003F0D77" w:rsidRDefault="003F0D77"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5285"/>
    <w:multiLevelType w:val="hybridMultilevel"/>
    <w:tmpl w:val="F7D89D34"/>
    <w:lvl w:ilvl="0" w:tplc="FC888208">
      <w:start w:val="1"/>
      <w:numFmt w:val="lowerLetter"/>
      <w:lvlText w:val="(%1)"/>
      <w:lvlJc w:val="left"/>
      <w:pPr>
        <w:ind w:left="734" w:hanging="45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1" w15:restartNumberingAfterBreak="0">
    <w:nsid w:val="2C003D95"/>
    <w:multiLevelType w:val="hybridMultilevel"/>
    <w:tmpl w:val="0A86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62254BD"/>
    <w:multiLevelType w:val="hybridMultilevel"/>
    <w:tmpl w:val="1F8C8778"/>
    <w:lvl w:ilvl="0" w:tplc="A3A4692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8E7D3A"/>
    <w:multiLevelType w:val="hybridMultilevel"/>
    <w:tmpl w:val="E8D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3"/>
  </w:num>
  <w:num w:numId="6">
    <w:abstractNumId w:val="3"/>
  </w:num>
  <w:num w:numId="7">
    <w:abstractNumId w:val="3"/>
  </w:num>
  <w:num w:numId="8">
    <w:abstractNumId w:val="14"/>
  </w:num>
  <w:num w:numId="9">
    <w:abstractNumId w:val="2"/>
  </w:num>
  <w:num w:numId="10">
    <w:abstractNumId w:val="6"/>
  </w:num>
  <w:num w:numId="11">
    <w:abstractNumId w:val="12"/>
  </w:num>
  <w:num w:numId="12">
    <w:abstractNumId w:val="8"/>
  </w:num>
  <w:num w:numId="13">
    <w:abstractNumId w:val="11"/>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34B"/>
    <w:rsid w:val="00041437"/>
    <w:rsid w:val="00042E4A"/>
    <w:rsid w:val="00052E9E"/>
    <w:rsid w:val="00053303"/>
    <w:rsid w:val="00053D17"/>
    <w:rsid w:val="00060E09"/>
    <w:rsid w:val="00063E28"/>
    <w:rsid w:val="0008596C"/>
    <w:rsid w:val="000A3C32"/>
    <w:rsid w:val="000B16E9"/>
    <w:rsid w:val="000B555E"/>
    <w:rsid w:val="000C2BEF"/>
    <w:rsid w:val="000C3917"/>
    <w:rsid w:val="000C48D8"/>
    <w:rsid w:val="000D5DF7"/>
    <w:rsid w:val="000E1B36"/>
    <w:rsid w:val="000F3B14"/>
    <w:rsid w:val="000F5178"/>
    <w:rsid w:val="00110946"/>
    <w:rsid w:val="00117ACE"/>
    <w:rsid w:val="00122C88"/>
    <w:rsid w:val="00130348"/>
    <w:rsid w:val="00132CF0"/>
    <w:rsid w:val="001433AE"/>
    <w:rsid w:val="00143BA9"/>
    <w:rsid w:val="0014441E"/>
    <w:rsid w:val="0015727B"/>
    <w:rsid w:val="001855C1"/>
    <w:rsid w:val="00186913"/>
    <w:rsid w:val="00197576"/>
    <w:rsid w:val="001B0917"/>
    <w:rsid w:val="001B7F2A"/>
    <w:rsid w:val="001C1E62"/>
    <w:rsid w:val="001D4937"/>
    <w:rsid w:val="001E008B"/>
    <w:rsid w:val="001E3FB5"/>
    <w:rsid w:val="001E6902"/>
    <w:rsid w:val="001F3C0D"/>
    <w:rsid w:val="001F4B50"/>
    <w:rsid w:val="001F7560"/>
    <w:rsid w:val="002065BA"/>
    <w:rsid w:val="00207912"/>
    <w:rsid w:val="00223863"/>
    <w:rsid w:val="0022502D"/>
    <w:rsid w:val="00251791"/>
    <w:rsid w:val="00260251"/>
    <w:rsid w:val="00262F05"/>
    <w:rsid w:val="002718FB"/>
    <w:rsid w:val="002855CE"/>
    <w:rsid w:val="0028635F"/>
    <w:rsid w:val="002867DD"/>
    <w:rsid w:val="00291389"/>
    <w:rsid w:val="002927CD"/>
    <w:rsid w:val="002A4157"/>
    <w:rsid w:val="002B3B25"/>
    <w:rsid w:val="002B7345"/>
    <w:rsid w:val="002C74BD"/>
    <w:rsid w:val="002D499A"/>
    <w:rsid w:val="002E62FF"/>
    <w:rsid w:val="002F6E86"/>
    <w:rsid w:val="00302B05"/>
    <w:rsid w:val="00326CF2"/>
    <w:rsid w:val="003421BD"/>
    <w:rsid w:val="00344553"/>
    <w:rsid w:val="00346695"/>
    <w:rsid w:val="00351BF5"/>
    <w:rsid w:val="003529E0"/>
    <w:rsid w:val="0037795E"/>
    <w:rsid w:val="00380E88"/>
    <w:rsid w:val="00393919"/>
    <w:rsid w:val="003A6BD5"/>
    <w:rsid w:val="003B0A2D"/>
    <w:rsid w:val="003E2711"/>
    <w:rsid w:val="003E6A8B"/>
    <w:rsid w:val="003F0D77"/>
    <w:rsid w:val="003F1329"/>
    <w:rsid w:val="00413ABE"/>
    <w:rsid w:val="00413C95"/>
    <w:rsid w:val="0043065E"/>
    <w:rsid w:val="00435EA2"/>
    <w:rsid w:val="004709BD"/>
    <w:rsid w:val="00472D86"/>
    <w:rsid w:val="00484737"/>
    <w:rsid w:val="00485B2E"/>
    <w:rsid w:val="00485F09"/>
    <w:rsid w:val="00492F46"/>
    <w:rsid w:val="00496D69"/>
    <w:rsid w:val="004A078E"/>
    <w:rsid w:val="004B1526"/>
    <w:rsid w:val="004C57A4"/>
    <w:rsid w:val="004D3BF2"/>
    <w:rsid w:val="004F43FB"/>
    <w:rsid w:val="00503CF8"/>
    <w:rsid w:val="005141B3"/>
    <w:rsid w:val="00522B65"/>
    <w:rsid w:val="00532BB4"/>
    <w:rsid w:val="00533C35"/>
    <w:rsid w:val="0054281F"/>
    <w:rsid w:val="00547158"/>
    <w:rsid w:val="0055290F"/>
    <w:rsid w:val="00553EDC"/>
    <w:rsid w:val="00566101"/>
    <w:rsid w:val="005706F1"/>
    <w:rsid w:val="00574E19"/>
    <w:rsid w:val="00592C37"/>
    <w:rsid w:val="005A1746"/>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3A64"/>
    <w:rsid w:val="006B61B0"/>
    <w:rsid w:val="006D1766"/>
    <w:rsid w:val="006D1B36"/>
    <w:rsid w:val="006D2C61"/>
    <w:rsid w:val="006D6A8A"/>
    <w:rsid w:val="006E1B2B"/>
    <w:rsid w:val="007118EA"/>
    <w:rsid w:val="00713707"/>
    <w:rsid w:val="00726A9C"/>
    <w:rsid w:val="007359BF"/>
    <w:rsid w:val="00743F26"/>
    <w:rsid w:val="00751942"/>
    <w:rsid w:val="007540E0"/>
    <w:rsid w:val="007544A8"/>
    <w:rsid w:val="0076668B"/>
    <w:rsid w:val="007749D9"/>
    <w:rsid w:val="00780F57"/>
    <w:rsid w:val="007914E0"/>
    <w:rsid w:val="007A32AF"/>
    <w:rsid w:val="007A78C0"/>
    <w:rsid w:val="007B1BA1"/>
    <w:rsid w:val="007C44DF"/>
    <w:rsid w:val="007D4060"/>
    <w:rsid w:val="007E56A2"/>
    <w:rsid w:val="007F18AA"/>
    <w:rsid w:val="00803AC4"/>
    <w:rsid w:val="00807B52"/>
    <w:rsid w:val="00813FF0"/>
    <w:rsid w:val="008270A1"/>
    <w:rsid w:val="008321A4"/>
    <w:rsid w:val="0084121D"/>
    <w:rsid w:val="00852DC3"/>
    <w:rsid w:val="008631A7"/>
    <w:rsid w:val="00876CBB"/>
    <w:rsid w:val="00891265"/>
    <w:rsid w:val="00897498"/>
    <w:rsid w:val="00897F0B"/>
    <w:rsid w:val="008C2559"/>
    <w:rsid w:val="008E01C3"/>
    <w:rsid w:val="008E3D62"/>
    <w:rsid w:val="008E4142"/>
    <w:rsid w:val="008F2375"/>
    <w:rsid w:val="008F5E8F"/>
    <w:rsid w:val="008F7BB0"/>
    <w:rsid w:val="00910B58"/>
    <w:rsid w:val="00911717"/>
    <w:rsid w:val="009163A5"/>
    <w:rsid w:val="00917C44"/>
    <w:rsid w:val="009203A2"/>
    <w:rsid w:val="00950F95"/>
    <w:rsid w:val="00953363"/>
    <w:rsid w:val="0096007E"/>
    <w:rsid w:val="00972601"/>
    <w:rsid w:val="0097786E"/>
    <w:rsid w:val="00987BC9"/>
    <w:rsid w:val="009A0D1D"/>
    <w:rsid w:val="009A18A7"/>
    <w:rsid w:val="009E1AB2"/>
    <w:rsid w:val="009E24E9"/>
    <w:rsid w:val="00A02200"/>
    <w:rsid w:val="00A45496"/>
    <w:rsid w:val="00A45FE5"/>
    <w:rsid w:val="00A51431"/>
    <w:rsid w:val="00A525F0"/>
    <w:rsid w:val="00A566A2"/>
    <w:rsid w:val="00A5731A"/>
    <w:rsid w:val="00A677C3"/>
    <w:rsid w:val="00A72B9B"/>
    <w:rsid w:val="00AA4ED9"/>
    <w:rsid w:val="00AD00CE"/>
    <w:rsid w:val="00AD1B6E"/>
    <w:rsid w:val="00AD5C9B"/>
    <w:rsid w:val="00AE07DE"/>
    <w:rsid w:val="00AE679D"/>
    <w:rsid w:val="00B03AF4"/>
    <w:rsid w:val="00B03DD6"/>
    <w:rsid w:val="00B20E37"/>
    <w:rsid w:val="00B31A10"/>
    <w:rsid w:val="00B31AAE"/>
    <w:rsid w:val="00B35E0C"/>
    <w:rsid w:val="00B447E6"/>
    <w:rsid w:val="00B62882"/>
    <w:rsid w:val="00B65F8F"/>
    <w:rsid w:val="00B70C7B"/>
    <w:rsid w:val="00B716A6"/>
    <w:rsid w:val="00B76831"/>
    <w:rsid w:val="00B77F67"/>
    <w:rsid w:val="00B81176"/>
    <w:rsid w:val="00B913C7"/>
    <w:rsid w:val="00B95452"/>
    <w:rsid w:val="00B97A5F"/>
    <w:rsid w:val="00BA517C"/>
    <w:rsid w:val="00BC0A3B"/>
    <w:rsid w:val="00BC3150"/>
    <w:rsid w:val="00BC4BEA"/>
    <w:rsid w:val="00BD31C6"/>
    <w:rsid w:val="00BE533B"/>
    <w:rsid w:val="00C06302"/>
    <w:rsid w:val="00C25C7E"/>
    <w:rsid w:val="00C312EA"/>
    <w:rsid w:val="00C375AF"/>
    <w:rsid w:val="00C44C35"/>
    <w:rsid w:val="00C472D6"/>
    <w:rsid w:val="00C60822"/>
    <w:rsid w:val="00C87C5C"/>
    <w:rsid w:val="00C905A7"/>
    <w:rsid w:val="00CB034C"/>
    <w:rsid w:val="00CB4FDB"/>
    <w:rsid w:val="00CB51AD"/>
    <w:rsid w:val="00CC2F3E"/>
    <w:rsid w:val="00CF5A98"/>
    <w:rsid w:val="00D01E04"/>
    <w:rsid w:val="00D10624"/>
    <w:rsid w:val="00D17D13"/>
    <w:rsid w:val="00D20E78"/>
    <w:rsid w:val="00D332C0"/>
    <w:rsid w:val="00D3403D"/>
    <w:rsid w:val="00D363B6"/>
    <w:rsid w:val="00D37422"/>
    <w:rsid w:val="00D46E69"/>
    <w:rsid w:val="00D61422"/>
    <w:rsid w:val="00D761DC"/>
    <w:rsid w:val="00D9370D"/>
    <w:rsid w:val="00DB2463"/>
    <w:rsid w:val="00DC769E"/>
    <w:rsid w:val="00DD2A0D"/>
    <w:rsid w:val="00DD5296"/>
    <w:rsid w:val="00DE122E"/>
    <w:rsid w:val="00DE3CBB"/>
    <w:rsid w:val="00DE76CB"/>
    <w:rsid w:val="00DF0D26"/>
    <w:rsid w:val="00DF7D10"/>
    <w:rsid w:val="00E103FB"/>
    <w:rsid w:val="00E25534"/>
    <w:rsid w:val="00E41B88"/>
    <w:rsid w:val="00E42AEE"/>
    <w:rsid w:val="00E533D0"/>
    <w:rsid w:val="00E55071"/>
    <w:rsid w:val="00E60EE1"/>
    <w:rsid w:val="00E72F99"/>
    <w:rsid w:val="00E77DF6"/>
    <w:rsid w:val="00E8352B"/>
    <w:rsid w:val="00EA468F"/>
    <w:rsid w:val="00EA6A49"/>
    <w:rsid w:val="00EA792E"/>
    <w:rsid w:val="00EC4BF6"/>
    <w:rsid w:val="00ED3A3C"/>
    <w:rsid w:val="00F03C60"/>
    <w:rsid w:val="00F201B8"/>
    <w:rsid w:val="00F33FD4"/>
    <w:rsid w:val="00F36709"/>
    <w:rsid w:val="00F43BC6"/>
    <w:rsid w:val="00F47FDD"/>
    <w:rsid w:val="00F51C17"/>
    <w:rsid w:val="00F5571A"/>
    <w:rsid w:val="00F65949"/>
    <w:rsid w:val="00F70594"/>
    <w:rsid w:val="00F754AB"/>
    <w:rsid w:val="00F8147B"/>
    <w:rsid w:val="00F87EA6"/>
    <w:rsid w:val="00F903C3"/>
    <w:rsid w:val="00FB0ABC"/>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E8A63"/>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4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479462348">
      <w:bodyDiv w:val="1"/>
      <w:marLeft w:val="0"/>
      <w:marRight w:val="0"/>
      <w:marTop w:val="0"/>
      <w:marBottom w:val="0"/>
      <w:divBdr>
        <w:top w:val="none" w:sz="0" w:space="0" w:color="auto"/>
        <w:left w:val="none" w:sz="0" w:space="0" w:color="auto"/>
        <w:bottom w:val="none" w:sz="0" w:space="0" w:color="auto"/>
        <w:right w:val="none" w:sz="0" w:space="0" w:color="auto"/>
      </w:divBdr>
    </w:div>
    <w:div w:id="726610371">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3787698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DBF5-781D-4E76-B055-BB48E035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22</cp:revision>
  <cp:lastPrinted>2019-09-02T08:30:00Z</cp:lastPrinted>
  <dcterms:created xsi:type="dcterms:W3CDTF">2019-08-26T06:10:00Z</dcterms:created>
  <dcterms:modified xsi:type="dcterms:W3CDTF">2019-09-17T13:16:00Z</dcterms:modified>
</cp:coreProperties>
</file>