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A5A9E" w14:textId="0FA8C99F" w:rsidR="00262F05" w:rsidRPr="002D499A" w:rsidRDefault="00262F05" w:rsidP="00F903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>NATIONAL ASSEMBLY</w:t>
      </w:r>
    </w:p>
    <w:p w14:paraId="47532621" w14:textId="77777777" w:rsidR="00262F05" w:rsidRPr="002D499A" w:rsidRDefault="00262F05" w:rsidP="00F903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>QUESTION FOR WRITTEN REPLY</w:t>
      </w:r>
    </w:p>
    <w:p w14:paraId="5BEAABCF" w14:textId="1E55CF0F" w:rsidR="00262F05" w:rsidRPr="002D499A" w:rsidRDefault="004709BD" w:rsidP="00F903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 xml:space="preserve">QUESTION NUMBER: </w:t>
      </w:r>
      <w:r w:rsidR="00D84A2B">
        <w:rPr>
          <w:rFonts w:ascii="Arial" w:hAnsi="Arial" w:cs="Arial"/>
          <w:b/>
          <w:sz w:val="22"/>
          <w:szCs w:val="22"/>
        </w:rPr>
        <w:t>566</w:t>
      </w:r>
      <w:r w:rsidR="00262F05" w:rsidRPr="002D499A">
        <w:rPr>
          <w:rFonts w:ascii="Arial" w:hAnsi="Arial" w:cs="Arial"/>
          <w:b/>
          <w:sz w:val="22"/>
          <w:szCs w:val="22"/>
        </w:rPr>
        <w:t xml:space="preserve"> [</w:t>
      </w:r>
      <w:r w:rsidR="00D84A2B">
        <w:rPr>
          <w:rFonts w:ascii="Arial" w:hAnsi="Arial" w:cs="Arial"/>
          <w:b/>
          <w:sz w:val="22"/>
          <w:szCs w:val="22"/>
        </w:rPr>
        <w:t>NW689E</w:t>
      </w:r>
      <w:r w:rsidR="00262F05" w:rsidRPr="002D499A">
        <w:rPr>
          <w:rFonts w:ascii="Arial" w:hAnsi="Arial" w:cs="Arial"/>
          <w:b/>
          <w:sz w:val="22"/>
          <w:szCs w:val="22"/>
        </w:rPr>
        <w:t>]</w:t>
      </w:r>
    </w:p>
    <w:p w14:paraId="54CE0CA6" w14:textId="12F3FBEE" w:rsidR="00262F05" w:rsidRPr="002D499A" w:rsidRDefault="0097786E" w:rsidP="00F903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 xml:space="preserve">DATE OF PUBLICATION: </w:t>
      </w:r>
      <w:r w:rsidR="00D84A2B">
        <w:rPr>
          <w:rFonts w:ascii="Arial" w:hAnsi="Arial" w:cs="Arial"/>
          <w:b/>
          <w:sz w:val="22"/>
          <w:szCs w:val="22"/>
        </w:rPr>
        <w:t>8</w:t>
      </w:r>
      <w:r w:rsidR="00D61422" w:rsidRPr="002D499A">
        <w:rPr>
          <w:rFonts w:ascii="Arial" w:hAnsi="Arial" w:cs="Arial"/>
          <w:b/>
          <w:sz w:val="22"/>
          <w:szCs w:val="22"/>
        </w:rPr>
        <w:t xml:space="preserve"> </w:t>
      </w:r>
      <w:r w:rsidR="00D84A2B">
        <w:rPr>
          <w:rFonts w:ascii="Arial" w:hAnsi="Arial" w:cs="Arial"/>
          <w:b/>
          <w:sz w:val="22"/>
          <w:szCs w:val="22"/>
        </w:rPr>
        <w:t>MARCH 2019</w:t>
      </w:r>
    </w:p>
    <w:p w14:paraId="7FC81E15" w14:textId="77777777" w:rsidR="0062770E" w:rsidRPr="002D499A" w:rsidRDefault="0062770E" w:rsidP="00FD2E6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C7215D6" w14:textId="77777777" w:rsidR="00D84A2B" w:rsidRPr="00D84A2B" w:rsidRDefault="00D84A2B" w:rsidP="00D84A2B">
      <w:pPr>
        <w:spacing w:before="100" w:beforeAutospacing="1" w:after="100" w:afterAutospacing="1" w:line="276" w:lineRule="auto"/>
        <w:ind w:left="709" w:hanging="709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D84A2B">
        <w:rPr>
          <w:rFonts w:ascii="Arial" w:eastAsia="Calibri" w:hAnsi="Arial" w:cs="Arial"/>
          <w:b/>
          <w:sz w:val="22"/>
          <w:szCs w:val="22"/>
          <w:lang w:val="af-ZA"/>
        </w:rPr>
        <w:t>566.</w:t>
      </w:r>
      <w:r w:rsidRPr="00D84A2B">
        <w:rPr>
          <w:rFonts w:ascii="Arial" w:eastAsia="Calibri" w:hAnsi="Arial" w:cs="Arial"/>
          <w:b/>
          <w:sz w:val="22"/>
          <w:szCs w:val="22"/>
          <w:lang w:val="af-ZA"/>
        </w:rPr>
        <w:tab/>
      </w:r>
      <w:r w:rsidRPr="00D84A2B">
        <w:rPr>
          <w:rFonts w:ascii="Arial" w:eastAsia="Calibri" w:hAnsi="Arial" w:cs="Arial"/>
          <w:b/>
          <w:noProof/>
          <w:sz w:val="22"/>
          <w:szCs w:val="22"/>
          <w:lang w:val="af-ZA"/>
        </w:rPr>
        <w:t>Mr</w:t>
      </w:r>
      <w:r w:rsidRPr="00D84A2B">
        <w:rPr>
          <w:rFonts w:ascii="Arial" w:eastAsia="Calibri" w:hAnsi="Arial" w:cs="Arial"/>
          <w:b/>
          <w:sz w:val="22"/>
          <w:szCs w:val="22"/>
          <w:lang w:val="en-ZA"/>
        </w:rPr>
        <w:t xml:space="preserve"> M S </w:t>
      </w:r>
      <w:bookmarkStart w:id="0" w:name="_GoBack"/>
      <w:r w:rsidRPr="00D84A2B">
        <w:rPr>
          <w:rFonts w:ascii="Arial" w:eastAsia="Calibri" w:hAnsi="Arial" w:cs="Arial"/>
          <w:b/>
          <w:sz w:val="22"/>
          <w:szCs w:val="22"/>
          <w:lang w:val="en-ZA"/>
        </w:rPr>
        <w:t xml:space="preserve">Shackleton </w:t>
      </w:r>
      <w:bookmarkEnd w:id="0"/>
      <w:r w:rsidRPr="00D84A2B">
        <w:rPr>
          <w:rFonts w:ascii="Arial" w:eastAsia="Calibri" w:hAnsi="Arial" w:cs="Arial"/>
          <w:b/>
          <w:sz w:val="22"/>
          <w:szCs w:val="22"/>
          <w:lang w:val="en-ZA"/>
        </w:rPr>
        <w:t xml:space="preserve">(DA) to ask the Minister </w:t>
      </w:r>
      <w:r w:rsidRPr="00D84A2B">
        <w:rPr>
          <w:rFonts w:ascii="Arial" w:eastAsia="Calibri" w:hAnsi="Arial" w:cs="Arial"/>
          <w:b/>
          <w:sz w:val="22"/>
          <w:szCs w:val="22"/>
          <w:lang w:val="af-ZA"/>
        </w:rPr>
        <w:t>of Finance:</w:t>
      </w:r>
    </w:p>
    <w:p w14:paraId="088DE6A7" w14:textId="77777777" w:rsidR="00D84A2B" w:rsidRDefault="00D84A2B" w:rsidP="00D84A2B">
      <w:pPr>
        <w:tabs>
          <w:tab w:val="left" w:pos="432"/>
          <w:tab w:val="left" w:pos="720"/>
        </w:tabs>
        <w:spacing w:before="100" w:beforeAutospacing="1" w:after="100" w:afterAutospacing="1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84A2B">
        <w:rPr>
          <w:rFonts w:ascii="Arial" w:hAnsi="Arial" w:cs="Arial"/>
          <w:sz w:val="22"/>
          <w:szCs w:val="22"/>
        </w:rPr>
        <w:t>On what grounds is the National Treasury’s projection based that the country’s gross domestic product will grow by 1.5 percent in the 2019-20 financial year?</w:t>
      </w:r>
    </w:p>
    <w:p w14:paraId="0FBC7B5A" w14:textId="3EB3FD1B" w:rsidR="00D84A2B" w:rsidRPr="00D84A2B" w:rsidRDefault="00D84A2B" w:rsidP="00D84A2B">
      <w:pPr>
        <w:tabs>
          <w:tab w:val="left" w:pos="432"/>
          <w:tab w:val="left" w:pos="720"/>
        </w:tabs>
        <w:spacing w:before="100" w:beforeAutospacing="1" w:after="100" w:afterAutospacing="1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84A2B">
        <w:rPr>
          <w:rFonts w:ascii="Arial" w:hAnsi="Arial" w:cs="Arial"/>
          <w:sz w:val="22"/>
          <w:szCs w:val="22"/>
        </w:rPr>
        <w:tab/>
      </w:r>
      <w:r w:rsidRPr="00D84A2B">
        <w:rPr>
          <w:rFonts w:ascii="Arial" w:eastAsia="Calibri" w:hAnsi="Arial" w:cs="Arial"/>
          <w:sz w:val="22"/>
          <w:szCs w:val="22"/>
        </w:rPr>
        <w:t>NW689E</w:t>
      </w:r>
    </w:p>
    <w:p w14:paraId="007AC7D2" w14:textId="03B2DAF6" w:rsidR="001433AE" w:rsidRDefault="001433AE" w:rsidP="00D84A2B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84A2B">
        <w:rPr>
          <w:rFonts w:ascii="Arial" w:hAnsi="Arial" w:cs="Arial"/>
          <w:b/>
          <w:sz w:val="22"/>
          <w:szCs w:val="22"/>
        </w:rPr>
        <w:t>RE</w:t>
      </w:r>
      <w:r w:rsidRPr="00C17DB7">
        <w:rPr>
          <w:rFonts w:ascii="Arial" w:hAnsi="Arial" w:cs="Arial"/>
          <w:b/>
          <w:sz w:val="22"/>
          <w:szCs w:val="22"/>
        </w:rPr>
        <w:t>PLY</w:t>
      </w:r>
      <w:r w:rsidRPr="00C17DB7">
        <w:rPr>
          <w:rFonts w:ascii="Arial" w:hAnsi="Arial" w:cs="Arial"/>
          <w:sz w:val="22"/>
          <w:szCs w:val="22"/>
        </w:rPr>
        <w:t>:</w:t>
      </w:r>
    </w:p>
    <w:p w14:paraId="20A9C921" w14:textId="4370E396" w:rsidR="004E6543" w:rsidRDefault="004E6543" w:rsidP="00D84A2B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 gross domestic product (GDP) growth is expected to </w:t>
      </w:r>
      <w:r w:rsidR="0016213B">
        <w:rPr>
          <w:rFonts w:ascii="Arial" w:hAnsi="Arial" w:cs="Arial"/>
          <w:sz w:val="22"/>
          <w:szCs w:val="22"/>
        </w:rPr>
        <w:t>increase</w:t>
      </w:r>
      <w:r>
        <w:rPr>
          <w:rFonts w:ascii="Arial" w:hAnsi="Arial" w:cs="Arial"/>
          <w:sz w:val="22"/>
          <w:szCs w:val="22"/>
        </w:rPr>
        <w:t xml:space="preserve"> from an estimated 0.7 per cent in 2018/19 to 1.5 per cent in 2019/20</w:t>
      </w:r>
      <w:r w:rsidR="00005B30">
        <w:rPr>
          <w:rFonts w:ascii="Arial" w:hAnsi="Arial" w:cs="Arial"/>
          <w:sz w:val="22"/>
          <w:szCs w:val="22"/>
        </w:rPr>
        <w:t xml:space="preserve">. </w:t>
      </w:r>
      <w:r w:rsidR="00301E5F">
        <w:rPr>
          <w:rFonts w:ascii="Arial" w:hAnsi="Arial" w:cs="Arial"/>
          <w:sz w:val="22"/>
          <w:szCs w:val="22"/>
        </w:rPr>
        <w:t xml:space="preserve">Growth is expected to be supported by </w:t>
      </w:r>
      <w:r w:rsidR="00902100">
        <w:rPr>
          <w:rFonts w:ascii="Arial" w:hAnsi="Arial" w:cs="Arial"/>
          <w:sz w:val="22"/>
          <w:szCs w:val="22"/>
        </w:rPr>
        <w:t xml:space="preserve">stronger </w:t>
      </w:r>
      <w:r w:rsidR="00301E5F">
        <w:rPr>
          <w:rFonts w:ascii="Arial" w:hAnsi="Arial" w:cs="Arial"/>
          <w:sz w:val="22"/>
          <w:szCs w:val="22"/>
        </w:rPr>
        <w:t>household spending and private sector invest</w:t>
      </w:r>
      <w:r w:rsidR="002B48E8">
        <w:rPr>
          <w:rFonts w:ascii="Arial" w:hAnsi="Arial" w:cs="Arial"/>
          <w:sz w:val="22"/>
          <w:szCs w:val="22"/>
        </w:rPr>
        <w:t xml:space="preserve">ment. </w:t>
      </w:r>
    </w:p>
    <w:p w14:paraId="70CD4150" w14:textId="253C3D95" w:rsidR="002B48E8" w:rsidRDefault="002B48E8" w:rsidP="00D84A2B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Household spending is </w:t>
      </w:r>
      <w:r w:rsidR="00C06DDB">
        <w:rPr>
          <w:rFonts w:ascii="Arial" w:hAnsi="Arial" w:cs="Arial"/>
          <w:sz w:val="22"/>
          <w:szCs w:val="22"/>
        </w:rPr>
        <w:t xml:space="preserve">projected to strengthen due to gradual improvements in </w:t>
      </w:r>
      <w:r w:rsidR="007247C2">
        <w:rPr>
          <w:rFonts w:ascii="Arial" w:hAnsi="Arial" w:cs="Arial"/>
          <w:sz w:val="22"/>
          <w:szCs w:val="22"/>
        </w:rPr>
        <w:t>disposable income</w:t>
      </w:r>
      <w:r w:rsidR="00C06DDB">
        <w:rPr>
          <w:rFonts w:ascii="Arial" w:hAnsi="Arial" w:cs="Arial"/>
          <w:sz w:val="22"/>
          <w:szCs w:val="22"/>
        </w:rPr>
        <w:t xml:space="preserve"> and credit extended to households. </w:t>
      </w:r>
      <w:r w:rsidR="007247C2">
        <w:rPr>
          <w:rFonts w:ascii="Arial" w:hAnsi="Arial" w:cs="Arial"/>
          <w:sz w:val="22"/>
          <w:szCs w:val="22"/>
        </w:rPr>
        <w:t xml:space="preserve">Employment growth is expected to remain weak in the early half of the fiscal year, although real wage growth in the private sector is expected to recover. </w:t>
      </w:r>
    </w:p>
    <w:p w14:paraId="23F378C0" w14:textId="77777777" w:rsidR="00715F25" w:rsidRDefault="00686594" w:rsidP="00D84A2B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Investment growth is expected to</w:t>
      </w:r>
      <w:r w:rsidR="00715F25">
        <w:rPr>
          <w:rFonts w:ascii="Arial" w:hAnsi="Arial" w:cs="Arial"/>
          <w:sz w:val="22"/>
          <w:szCs w:val="22"/>
        </w:rPr>
        <w:t xml:space="preserve"> remain subdued compared with historical levels, but improving over the medium term. In 2019/20, investment growth is expected to be supported by a rising need to replace worn capital, an expected improvement in certain export commodity prices, and a gradual recovery in business confidence.</w:t>
      </w:r>
    </w:p>
    <w:p w14:paraId="34383E28" w14:textId="179F214E" w:rsidR="00AC2A5B" w:rsidRDefault="00AC2A5B" w:rsidP="00D84A2B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main risks </w:t>
      </w:r>
      <w:r w:rsidR="006C4B95">
        <w:rPr>
          <w:rFonts w:ascii="Arial" w:hAnsi="Arial" w:cs="Arial"/>
          <w:sz w:val="22"/>
          <w:szCs w:val="22"/>
        </w:rPr>
        <w:t xml:space="preserve">to the economic outlook for 2019/20 </w:t>
      </w:r>
      <w:r>
        <w:rPr>
          <w:rFonts w:ascii="Arial" w:hAnsi="Arial" w:cs="Arial"/>
          <w:sz w:val="22"/>
          <w:szCs w:val="22"/>
        </w:rPr>
        <w:t>concern</w:t>
      </w:r>
      <w:r w:rsidR="006377E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Eskom and the potential impact that ineffective implementation of its reconfiguration could have on capital flows</w:t>
      </w:r>
      <w:r w:rsidR="006377E5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the level of the exchange rate</w:t>
      </w:r>
      <w:r w:rsidR="006377E5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and investor confidence. Other near-term domestic risks include the potential for disruptive load-shedding, prolonged industrial action and whether a hesitance to investment continues well beyond political events scheduled this year. Government has made progress on </w:t>
      </w:r>
      <w:r w:rsidR="00DF1DED">
        <w:rPr>
          <w:rFonts w:ascii="Arial" w:hAnsi="Arial" w:cs="Arial"/>
          <w:sz w:val="22"/>
          <w:szCs w:val="22"/>
        </w:rPr>
        <w:t>restoring policy certainty</w:t>
      </w:r>
      <w:r>
        <w:rPr>
          <w:rFonts w:ascii="Arial" w:hAnsi="Arial" w:cs="Arial"/>
          <w:sz w:val="22"/>
          <w:szCs w:val="22"/>
        </w:rPr>
        <w:t xml:space="preserve"> with many measures being implemented or prepared for implementation.</w:t>
      </w:r>
      <w:r w:rsidR="00DF1D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Improved traction on the reform agenda </w:t>
      </w:r>
      <w:r w:rsidR="00D11ABC">
        <w:rPr>
          <w:rFonts w:ascii="Arial" w:hAnsi="Arial" w:cs="Arial"/>
          <w:sz w:val="22"/>
          <w:szCs w:val="22"/>
        </w:rPr>
        <w:t>could increase</w:t>
      </w:r>
      <w:r>
        <w:rPr>
          <w:rFonts w:ascii="Arial" w:hAnsi="Arial" w:cs="Arial"/>
          <w:sz w:val="22"/>
          <w:szCs w:val="22"/>
        </w:rPr>
        <w:t xml:space="preserve"> </w:t>
      </w:r>
      <w:r w:rsidR="00DF1DED">
        <w:rPr>
          <w:rFonts w:ascii="Arial" w:hAnsi="Arial" w:cs="Arial"/>
          <w:sz w:val="22"/>
          <w:szCs w:val="22"/>
        </w:rPr>
        <w:t>growth, if reforms are well-received by investors</w:t>
      </w:r>
      <w:r w:rsidR="00D11ABC">
        <w:rPr>
          <w:rFonts w:ascii="Arial" w:hAnsi="Arial" w:cs="Arial"/>
          <w:sz w:val="22"/>
          <w:szCs w:val="22"/>
        </w:rPr>
        <w:t xml:space="preserve"> and businesses</w:t>
      </w:r>
      <w:r w:rsidR="00DF1DED">
        <w:rPr>
          <w:rFonts w:ascii="Arial" w:hAnsi="Arial" w:cs="Arial"/>
          <w:sz w:val="22"/>
          <w:szCs w:val="22"/>
        </w:rPr>
        <w:t xml:space="preserve">. </w:t>
      </w:r>
    </w:p>
    <w:p w14:paraId="747FA8FA" w14:textId="31CFDF7F" w:rsidR="00751942" w:rsidRPr="002D499A" w:rsidRDefault="00AC2A5B" w:rsidP="00E03D5E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Global risks </w:t>
      </w:r>
      <w:r w:rsidR="006C4B95">
        <w:rPr>
          <w:rFonts w:ascii="Arial" w:hAnsi="Arial" w:cs="Arial"/>
          <w:sz w:val="22"/>
          <w:szCs w:val="22"/>
        </w:rPr>
        <w:t>include a</w:t>
      </w:r>
      <w:r>
        <w:rPr>
          <w:rFonts w:ascii="Arial" w:hAnsi="Arial" w:cs="Arial"/>
          <w:sz w:val="22"/>
          <w:szCs w:val="22"/>
        </w:rPr>
        <w:t>n escalation of global trade frictions</w:t>
      </w:r>
      <w:r w:rsidR="00D11ABC">
        <w:rPr>
          <w:rFonts w:ascii="Arial" w:hAnsi="Arial" w:cs="Arial"/>
          <w:sz w:val="22"/>
          <w:szCs w:val="22"/>
        </w:rPr>
        <w:t xml:space="preserve"> that</w:t>
      </w:r>
      <w:r>
        <w:rPr>
          <w:rFonts w:ascii="Arial" w:hAnsi="Arial" w:cs="Arial"/>
          <w:sz w:val="22"/>
          <w:szCs w:val="22"/>
        </w:rPr>
        <w:t xml:space="preserve"> lead to financial market volatility and undermine international trade and investment.</w:t>
      </w:r>
      <w:r w:rsidR="00DF1DED">
        <w:rPr>
          <w:rFonts w:ascii="Arial" w:hAnsi="Arial" w:cs="Arial"/>
          <w:sz w:val="22"/>
          <w:szCs w:val="22"/>
        </w:rPr>
        <w:t xml:space="preserve"> If trade disputes are resolved, the resulting improvement in business and investor sentiment can support global growth. </w:t>
      </w:r>
      <w:r>
        <w:rPr>
          <w:rFonts w:ascii="Arial" w:hAnsi="Arial" w:cs="Arial"/>
          <w:sz w:val="22"/>
          <w:szCs w:val="22"/>
        </w:rPr>
        <w:t xml:space="preserve">Slower growth in key export markets can </w:t>
      </w:r>
      <w:r w:rsidR="00DF1DED">
        <w:rPr>
          <w:rFonts w:ascii="Arial" w:hAnsi="Arial" w:cs="Arial"/>
          <w:sz w:val="22"/>
          <w:szCs w:val="22"/>
        </w:rPr>
        <w:t>further pressure demand for South Africa’s exports while global financial markets rema</w:t>
      </w:r>
      <w:r w:rsidR="00331148">
        <w:rPr>
          <w:rFonts w:ascii="Arial" w:hAnsi="Arial" w:cs="Arial"/>
          <w:sz w:val="22"/>
          <w:szCs w:val="22"/>
        </w:rPr>
        <w:t>in vulnerable to uncertainties surrounding Brexit and potential banking sector risks in Europe.</w:t>
      </w:r>
    </w:p>
    <w:sectPr w:rsidR="00751942" w:rsidRPr="002D499A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1FCC"/>
    <w:multiLevelType w:val="hybridMultilevel"/>
    <w:tmpl w:val="06DA4DBA"/>
    <w:lvl w:ilvl="0" w:tplc="B504E2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05B30"/>
    <w:rsid w:val="00011016"/>
    <w:rsid w:val="00012A82"/>
    <w:rsid w:val="00016A41"/>
    <w:rsid w:val="00020C04"/>
    <w:rsid w:val="00023BC3"/>
    <w:rsid w:val="00041437"/>
    <w:rsid w:val="00042E4A"/>
    <w:rsid w:val="00053303"/>
    <w:rsid w:val="00063E28"/>
    <w:rsid w:val="0008596C"/>
    <w:rsid w:val="000A3C32"/>
    <w:rsid w:val="000B16E9"/>
    <w:rsid w:val="000C2BEF"/>
    <w:rsid w:val="000C3917"/>
    <w:rsid w:val="000C48D8"/>
    <w:rsid w:val="000E1B36"/>
    <w:rsid w:val="000F3B14"/>
    <w:rsid w:val="000F5178"/>
    <w:rsid w:val="00110946"/>
    <w:rsid w:val="00130348"/>
    <w:rsid w:val="001433AE"/>
    <w:rsid w:val="0014441E"/>
    <w:rsid w:val="0015727B"/>
    <w:rsid w:val="0016213B"/>
    <w:rsid w:val="00197576"/>
    <w:rsid w:val="001B0917"/>
    <w:rsid w:val="001C1E62"/>
    <w:rsid w:val="001D4937"/>
    <w:rsid w:val="001E3FB5"/>
    <w:rsid w:val="001E6902"/>
    <w:rsid w:val="001F4B50"/>
    <w:rsid w:val="001F7560"/>
    <w:rsid w:val="002065BA"/>
    <w:rsid w:val="00207912"/>
    <w:rsid w:val="00223863"/>
    <w:rsid w:val="0022502D"/>
    <w:rsid w:val="00251791"/>
    <w:rsid w:val="00260251"/>
    <w:rsid w:val="00262F05"/>
    <w:rsid w:val="002855CE"/>
    <w:rsid w:val="0028635F"/>
    <w:rsid w:val="002867DD"/>
    <w:rsid w:val="002A4157"/>
    <w:rsid w:val="002B3B25"/>
    <w:rsid w:val="002B48E8"/>
    <w:rsid w:val="002B7345"/>
    <w:rsid w:val="002D499A"/>
    <w:rsid w:val="002F6E86"/>
    <w:rsid w:val="00301E5F"/>
    <w:rsid w:val="00326CF2"/>
    <w:rsid w:val="00331148"/>
    <w:rsid w:val="003421BD"/>
    <w:rsid w:val="00344553"/>
    <w:rsid w:val="00351BF5"/>
    <w:rsid w:val="0037795E"/>
    <w:rsid w:val="00393919"/>
    <w:rsid w:val="003A6BD5"/>
    <w:rsid w:val="003B0A2D"/>
    <w:rsid w:val="003E2711"/>
    <w:rsid w:val="003E6A8B"/>
    <w:rsid w:val="003F1329"/>
    <w:rsid w:val="00413ABE"/>
    <w:rsid w:val="00413C95"/>
    <w:rsid w:val="0043065E"/>
    <w:rsid w:val="00435EA2"/>
    <w:rsid w:val="004709BD"/>
    <w:rsid w:val="00472D86"/>
    <w:rsid w:val="00484737"/>
    <w:rsid w:val="00485B2E"/>
    <w:rsid w:val="00485F09"/>
    <w:rsid w:val="004A078E"/>
    <w:rsid w:val="004B1526"/>
    <w:rsid w:val="004C57A4"/>
    <w:rsid w:val="004E6543"/>
    <w:rsid w:val="004F43FB"/>
    <w:rsid w:val="00503CF8"/>
    <w:rsid w:val="005141B3"/>
    <w:rsid w:val="00522B65"/>
    <w:rsid w:val="00532BB4"/>
    <w:rsid w:val="00533C35"/>
    <w:rsid w:val="00543435"/>
    <w:rsid w:val="00547158"/>
    <w:rsid w:val="0055290F"/>
    <w:rsid w:val="005706F1"/>
    <w:rsid w:val="00574E19"/>
    <w:rsid w:val="005E21D9"/>
    <w:rsid w:val="005E32E0"/>
    <w:rsid w:val="005E415D"/>
    <w:rsid w:val="005F11A2"/>
    <w:rsid w:val="005F6B76"/>
    <w:rsid w:val="00613FC6"/>
    <w:rsid w:val="006239F1"/>
    <w:rsid w:val="00624D20"/>
    <w:rsid w:val="0062770E"/>
    <w:rsid w:val="006377E5"/>
    <w:rsid w:val="0064275F"/>
    <w:rsid w:val="00646E7C"/>
    <w:rsid w:val="00647EF2"/>
    <w:rsid w:val="00651616"/>
    <w:rsid w:val="00653A85"/>
    <w:rsid w:val="00675635"/>
    <w:rsid w:val="00685058"/>
    <w:rsid w:val="00685F0E"/>
    <w:rsid w:val="00686594"/>
    <w:rsid w:val="00693A64"/>
    <w:rsid w:val="006B61B0"/>
    <w:rsid w:val="006C4B95"/>
    <w:rsid w:val="006D1766"/>
    <w:rsid w:val="006D2C61"/>
    <w:rsid w:val="007118EA"/>
    <w:rsid w:val="00715F25"/>
    <w:rsid w:val="007247C2"/>
    <w:rsid w:val="00726A9C"/>
    <w:rsid w:val="007359BF"/>
    <w:rsid w:val="00743F26"/>
    <w:rsid w:val="00751942"/>
    <w:rsid w:val="007540E0"/>
    <w:rsid w:val="007544A8"/>
    <w:rsid w:val="00760428"/>
    <w:rsid w:val="0076668B"/>
    <w:rsid w:val="007749D9"/>
    <w:rsid w:val="00780CFF"/>
    <w:rsid w:val="00780F57"/>
    <w:rsid w:val="007914E0"/>
    <w:rsid w:val="007A32AF"/>
    <w:rsid w:val="007B1BA1"/>
    <w:rsid w:val="007D4060"/>
    <w:rsid w:val="007E56A2"/>
    <w:rsid w:val="007F18AA"/>
    <w:rsid w:val="00803AC4"/>
    <w:rsid w:val="00813FF0"/>
    <w:rsid w:val="008270A1"/>
    <w:rsid w:val="008321A4"/>
    <w:rsid w:val="0084121D"/>
    <w:rsid w:val="00852DC3"/>
    <w:rsid w:val="008631A7"/>
    <w:rsid w:val="00876CBB"/>
    <w:rsid w:val="00891265"/>
    <w:rsid w:val="00897498"/>
    <w:rsid w:val="008978FA"/>
    <w:rsid w:val="00897F0B"/>
    <w:rsid w:val="008C2559"/>
    <w:rsid w:val="008E01C3"/>
    <w:rsid w:val="008E4142"/>
    <w:rsid w:val="008F2375"/>
    <w:rsid w:val="00902100"/>
    <w:rsid w:val="00910B58"/>
    <w:rsid w:val="00911717"/>
    <w:rsid w:val="009163A5"/>
    <w:rsid w:val="009203A2"/>
    <w:rsid w:val="00950F95"/>
    <w:rsid w:val="00953363"/>
    <w:rsid w:val="0096007E"/>
    <w:rsid w:val="00972601"/>
    <w:rsid w:val="0097786E"/>
    <w:rsid w:val="00987BC9"/>
    <w:rsid w:val="009A18A7"/>
    <w:rsid w:val="009E1AB2"/>
    <w:rsid w:val="009E24E9"/>
    <w:rsid w:val="00A02200"/>
    <w:rsid w:val="00A45FE5"/>
    <w:rsid w:val="00A51431"/>
    <w:rsid w:val="00A525F0"/>
    <w:rsid w:val="00A566A2"/>
    <w:rsid w:val="00A5731A"/>
    <w:rsid w:val="00A677C3"/>
    <w:rsid w:val="00A72B9B"/>
    <w:rsid w:val="00AA4ED9"/>
    <w:rsid w:val="00AC2A5B"/>
    <w:rsid w:val="00AD00CE"/>
    <w:rsid w:val="00AD5C9B"/>
    <w:rsid w:val="00AE07DE"/>
    <w:rsid w:val="00B03AF4"/>
    <w:rsid w:val="00B03DD6"/>
    <w:rsid w:val="00B20E37"/>
    <w:rsid w:val="00B31AAE"/>
    <w:rsid w:val="00B35E0C"/>
    <w:rsid w:val="00B447E6"/>
    <w:rsid w:val="00B62882"/>
    <w:rsid w:val="00B65F8F"/>
    <w:rsid w:val="00B70C7B"/>
    <w:rsid w:val="00B77F67"/>
    <w:rsid w:val="00B80CA7"/>
    <w:rsid w:val="00B81176"/>
    <w:rsid w:val="00B913C7"/>
    <w:rsid w:val="00B95452"/>
    <w:rsid w:val="00BA517C"/>
    <w:rsid w:val="00BC0A3B"/>
    <w:rsid w:val="00BC3150"/>
    <w:rsid w:val="00BD31C6"/>
    <w:rsid w:val="00C06DDB"/>
    <w:rsid w:val="00C17DB7"/>
    <w:rsid w:val="00C25C7E"/>
    <w:rsid w:val="00C312EA"/>
    <w:rsid w:val="00C44C35"/>
    <w:rsid w:val="00C472D6"/>
    <w:rsid w:val="00C60822"/>
    <w:rsid w:val="00C87C5C"/>
    <w:rsid w:val="00C905A7"/>
    <w:rsid w:val="00CB4FDB"/>
    <w:rsid w:val="00CB51AD"/>
    <w:rsid w:val="00CC2F3E"/>
    <w:rsid w:val="00D01E04"/>
    <w:rsid w:val="00D11ABC"/>
    <w:rsid w:val="00D17D13"/>
    <w:rsid w:val="00D20E78"/>
    <w:rsid w:val="00D332C0"/>
    <w:rsid w:val="00D3403D"/>
    <w:rsid w:val="00D363B6"/>
    <w:rsid w:val="00D46E69"/>
    <w:rsid w:val="00D61422"/>
    <w:rsid w:val="00D65561"/>
    <w:rsid w:val="00D761DC"/>
    <w:rsid w:val="00D84A2B"/>
    <w:rsid w:val="00DB2463"/>
    <w:rsid w:val="00DC769E"/>
    <w:rsid w:val="00DD2A0D"/>
    <w:rsid w:val="00DD5296"/>
    <w:rsid w:val="00DE122E"/>
    <w:rsid w:val="00DE3CBB"/>
    <w:rsid w:val="00DE76CB"/>
    <w:rsid w:val="00DF0D26"/>
    <w:rsid w:val="00DF1DED"/>
    <w:rsid w:val="00DF7D10"/>
    <w:rsid w:val="00E03D5E"/>
    <w:rsid w:val="00E103FB"/>
    <w:rsid w:val="00E42AEE"/>
    <w:rsid w:val="00E533D0"/>
    <w:rsid w:val="00E55071"/>
    <w:rsid w:val="00E60EE1"/>
    <w:rsid w:val="00E72F99"/>
    <w:rsid w:val="00E77DF6"/>
    <w:rsid w:val="00E8352B"/>
    <w:rsid w:val="00EA468F"/>
    <w:rsid w:val="00EA6A49"/>
    <w:rsid w:val="00EC4BF6"/>
    <w:rsid w:val="00ED3A3C"/>
    <w:rsid w:val="00F03C60"/>
    <w:rsid w:val="00F201B8"/>
    <w:rsid w:val="00F33FD4"/>
    <w:rsid w:val="00F36709"/>
    <w:rsid w:val="00F47FDD"/>
    <w:rsid w:val="00F51C17"/>
    <w:rsid w:val="00F5571A"/>
    <w:rsid w:val="00F65949"/>
    <w:rsid w:val="00F70594"/>
    <w:rsid w:val="00F71E75"/>
    <w:rsid w:val="00F754AB"/>
    <w:rsid w:val="00F8147B"/>
    <w:rsid w:val="00F87EA6"/>
    <w:rsid w:val="00F903C3"/>
    <w:rsid w:val="00FB0ABC"/>
    <w:rsid w:val="00FC2064"/>
    <w:rsid w:val="00FC4E03"/>
    <w:rsid w:val="00FD2E66"/>
    <w:rsid w:val="00FD4CF0"/>
    <w:rsid w:val="00FD595E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D64504B"/>
  <w15:docId w15:val="{D46ACF70-8897-46F4-B52A-B1AA9BA2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A2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D033-D45A-4068-A3FE-1D5B26CA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2019-03-19T07:37:00Z</cp:lastPrinted>
  <dcterms:created xsi:type="dcterms:W3CDTF">2019-03-29T09:30:00Z</dcterms:created>
  <dcterms:modified xsi:type="dcterms:W3CDTF">2019-03-29T09:30:00Z</dcterms:modified>
</cp:coreProperties>
</file>