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8E" w:rsidRDefault="00E7452A">
      <w:pPr>
        <w:pStyle w:val="Heading1"/>
        <w:spacing w:before="76" w:line="360" w:lineRule="auto"/>
        <w:ind w:left="1827" w:right="1717"/>
        <w:jc w:val="center"/>
      </w:pPr>
      <w:r>
        <w:rPr>
          <w:u w:val="thick"/>
        </w:rPr>
        <w:t>PARLIAMENT OF THE REPUBLIC OF SOUTH AFRICA</w:t>
      </w:r>
      <w:r>
        <w:t xml:space="preserve"> </w:t>
      </w:r>
      <w:r>
        <w:rPr>
          <w:u w:val="thick"/>
        </w:rPr>
        <w:t>NATIONAL ASSEMBLY</w:t>
      </w:r>
    </w:p>
    <w:p w:rsidR="00D5328E" w:rsidRDefault="00E7452A">
      <w:pPr>
        <w:spacing w:before="1"/>
        <w:ind w:left="1827" w:right="1716"/>
        <w:jc w:val="center"/>
        <w:rPr>
          <w:b/>
          <w:sz w:val="24"/>
        </w:rPr>
      </w:pPr>
      <w:r>
        <w:rPr>
          <w:b/>
          <w:sz w:val="24"/>
          <w:u w:val="thick"/>
        </w:rPr>
        <w:t>WRITTEN REPLY</w:t>
      </w:r>
    </w:p>
    <w:p w:rsidR="00D5328E" w:rsidRDefault="00D5328E">
      <w:pPr>
        <w:pStyle w:val="BodyText"/>
        <w:rPr>
          <w:b/>
          <w:sz w:val="20"/>
        </w:rPr>
      </w:pPr>
    </w:p>
    <w:p w:rsidR="00D5328E" w:rsidRDefault="00D5328E">
      <w:pPr>
        <w:pStyle w:val="BodyText"/>
        <w:spacing w:before="11"/>
        <w:rPr>
          <w:b/>
          <w:sz w:val="19"/>
        </w:rPr>
      </w:pPr>
    </w:p>
    <w:p w:rsidR="00D5328E" w:rsidRDefault="00E7452A">
      <w:pPr>
        <w:spacing w:before="92"/>
        <w:ind w:left="229"/>
        <w:rPr>
          <w:b/>
          <w:sz w:val="24"/>
        </w:rPr>
      </w:pPr>
      <w:r>
        <w:rPr>
          <w:b/>
          <w:sz w:val="24"/>
        </w:rPr>
        <w:t>QUESTION NO: 554</w:t>
      </w:r>
    </w:p>
    <w:p w:rsidR="00D5328E" w:rsidRDefault="00D5328E">
      <w:pPr>
        <w:pStyle w:val="BodyText"/>
        <w:rPr>
          <w:b/>
          <w:sz w:val="26"/>
        </w:rPr>
      </w:pPr>
    </w:p>
    <w:p w:rsidR="00D5328E" w:rsidRDefault="00D5328E">
      <w:pPr>
        <w:pStyle w:val="BodyText"/>
        <w:rPr>
          <w:b/>
          <w:sz w:val="22"/>
        </w:rPr>
      </w:pPr>
    </w:p>
    <w:p w:rsidR="00D5328E" w:rsidRDefault="00E7452A">
      <w:pPr>
        <w:ind w:left="229"/>
        <w:rPr>
          <w:b/>
          <w:sz w:val="24"/>
        </w:rPr>
      </w:pPr>
      <w:r>
        <w:rPr>
          <w:b/>
          <w:sz w:val="24"/>
        </w:rPr>
        <w:t xml:space="preserve">Mr C </w:t>
      </w:r>
      <w:proofErr w:type="spellStart"/>
      <w:r>
        <w:rPr>
          <w:b/>
          <w:sz w:val="24"/>
        </w:rPr>
        <w:t>MacKenzie</w:t>
      </w:r>
      <w:proofErr w:type="spellEnd"/>
      <w:r>
        <w:rPr>
          <w:b/>
          <w:sz w:val="24"/>
        </w:rPr>
        <w:t xml:space="preserve"> (DA) to ask the Minister of Communications:</w:t>
      </w:r>
    </w:p>
    <w:p w:rsidR="00D5328E" w:rsidRDefault="00D5328E">
      <w:pPr>
        <w:pStyle w:val="BodyText"/>
        <w:rPr>
          <w:b/>
        </w:rPr>
      </w:pPr>
    </w:p>
    <w:p w:rsidR="00D5328E" w:rsidRDefault="00E7452A">
      <w:pPr>
        <w:pStyle w:val="BodyText"/>
        <w:spacing w:line="360" w:lineRule="auto"/>
        <w:ind w:left="229" w:right="116"/>
        <w:jc w:val="both"/>
        <w:rPr>
          <w:b/>
        </w:rPr>
      </w:pPr>
      <w:r>
        <w:t>Has the SA Post Office been subjected to any Special Investigating Unit in the period 1 June 2014 to 30 June 2019; if so, (a) what was the subject and nature of each investigation, (b) what was the outcome of each finalized investigations and (c) what is t</w:t>
      </w:r>
      <w:r>
        <w:t xml:space="preserve">he current status of each incomplete investigation? </w:t>
      </w:r>
      <w:r>
        <w:rPr>
          <w:b/>
        </w:rPr>
        <w:t>NW1551E</w:t>
      </w:r>
    </w:p>
    <w:p w:rsidR="00D5328E" w:rsidRDefault="00D5328E">
      <w:pPr>
        <w:pStyle w:val="BodyText"/>
        <w:spacing w:before="1"/>
        <w:rPr>
          <w:b/>
        </w:rPr>
      </w:pPr>
    </w:p>
    <w:p w:rsidR="00D5328E" w:rsidRDefault="00E7452A">
      <w:pPr>
        <w:pStyle w:val="Heading1"/>
      </w:pPr>
      <w:r>
        <w:t>REPLY:</w:t>
      </w:r>
    </w:p>
    <w:p w:rsidR="00D5328E" w:rsidRDefault="00D5328E">
      <w:pPr>
        <w:pStyle w:val="BodyText"/>
        <w:rPr>
          <w:b/>
        </w:rPr>
      </w:pPr>
    </w:p>
    <w:p w:rsidR="00D5328E" w:rsidRDefault="00E7452A">
      <w:pPr>
        <w:ind w:left="229"/>
        <w:rPr>
          <w:b/>
          <w:sz w:val="24"/>
        </w:rPr>
      </w:pPr>
      <w:r>
        <w:rPr>
          <w:b/>
          <w:sz w:val="24"/>
        </w:rPr>
        <w:t>I have been advised by SA Post Office as follows:</w:t>
      </w:r>
    </w:p>
    <w:p w:rsidR="00D5328E" w:rsidRDefault="00D5328E">
      <w:pPr>
        <w:pStyle w:val="BodyText"/>
        <w:rPr>
          <w:b/>
          <w:sz w:val="26"/>
        </w:rPr>
      </w:pPr>
    </w:p>
    <w:p w:rsidR="00D5328E" w:rsidRDefault="00D5328E">
      <w:pPr>
        <w:pStyle w:val="BodyText"/>
        <w:rPr>
          <w:b/>
          <w:sz w:val="21"/>
        </w:rPr>
      </w:pPr>
    </w:p>
    <w:p w:rsidR="00D5328E" w:rsidRDefault="00E7452A">
      <w:pPr>
        <w:pStyle w:val="BodyText"/>
        <w:spacing w:line="360" w:lineRule="auto"/>
        <w:ind w:left="229" w:right="114"/>
        <w:jc w:val="both"/>
      </w:pPr>
      <w:r>
        <w:t>The SA Post Office was subjected to a Special Investigating Unit investigation in terms of Proclamation No R5 of 2014 read with Proclam</w:t>
      </w:r>
      <w:r>
        <w:t>ation R56 of 2014 into certain affairs of the SA Post Office.</w:t>
      </w:r>
    </w:p>
    <w:p w:rsidR="00D5328E" w:rsidRDefault="00E7452A">
      <w:pPr>
        <w:pStyle w:val="ListParagraph"/>
        <w:numPr>
          <w:ilvl w:val="0"/>
          <w:numId w:val="2"/>
        </w:numPr>
        <w:tabs>
          <w:tab w:val="left" w:pos="949"/>
          <w:tab w:val="left" w:pos="950"/>
        </w:tabs>
        <w:spacing w:line="275" w:lineRule="exact"/>
        <w:rPr>
          <w:sz w:val="24"/>
        </w:rPr>
      </w:pPr>
      <w:r>
        <w:rPr>
          <w:sz w:val="24"/>
        </w:rPr>
        <w:t>The terms of Proclamation R5 of 2014 was to investigate the</w:t>
      </w:r>
      <w:r>
        <w:rPr>
          <w:spacing w:val="-9"/>
          <w:sz w:val="24"/>
        </w:rPr>
        <w:t xml:space="preserve"> </w:t>
      </w:r>
      <w:r>
        <w:rPr>
          <w:sz w:val="24"/>
        </w:rPr>
        <w:t>following:</w:t>
      </w:r>
    </w:p>
    <w:p w:rsidR="00D5328E" w:rsidRDefault="00D5328E">
      <w:pPr>
        <w:pStyle w:val="BodyText"/>
        <w:rPr>
          <w:sz w:val="26"/>
        </w:rPr>
      </w:pPr>
    </w:p>
    <w:p w:rsidR="00D5328E" w:rsidRDefault="00D5328E">
      <w:pPr>
        <w:pStyle w:val="BodyText"/>
        <w:rPr>
          <w:sz w:val="22"/>
        </w:rPr>
      </w:pPr>
    </w:p>
    <w:p w:rsidR="00D5328E" w:rsidRDefault="00E7452A">
      <w:pPr>
        <w:pStyle w:val="ListParagraph"/>
        <w:numPr>
          <w:ilvl w:val="1"/>
          <w:numId w:val="2"/>
        </w:numPr>
        <w:tabs>
          <w:tab w:val="left" w:pos="1669"/>
          <w:tab w:val="left" w:pos="1670"/>
        </w:tabs>
        <w:spacing w:line="360" w:lineRule="auto"/>
        <w:ind w:right="843" w:hanging="852"/>
        <w:rPr>
          <w:sz w:val="24"/>
        </w:rPr>
      </w:pPr>
      <w:r>
        <w:rPr>
          <w:sz w:val="24"/>
        </w:rPr>
        <w:t>The procurement of goods, works or services by or on behalf of the SAPO and payments</w:t>
      </w:r>
      <w:r>
        <w:rPr>
          <w:spacing w:val="-7"/>
          <w:sz w:val="24"/>
        </w:rPr>
        <w:t xml:space="preserve"> </w:t>
      </w:r>
      <w:r>
        <w:rPr>
          <w:sz w:val="24"/>
        </w:rPr>
        <w:t>made,</w:t>
      </w:r>
    </w:p>
    <w:p w:rsidR="00D5328E" w:rsidRDefault="00E7452A">
      <w:pPr>
        <w:pStyle w:val="ListParagraph"/>
        <w:numPr>
          <w:ilvl w:val="1"/>
          <w:numId w:val="2"/>
        </w:numPr>
        <w:tabs>
          <w:tab w:val="left" w:pos="1669"/>
          <w:tab w:val="left" w:pos="1670"/>
        </w:tabs>
        <w:spacing w:line="360" w:lineRule="auto"/>
        <w:ind w:right="162" w:hanging="852"/>
        <w:rPr>
          <w:sz w:val="24"/>
        </w:rPr>
      </w:pPr>
      <w:r>
        <w:rPr>
          <w:sz w:val="24"/>
        </w:rPr>
        <w:t>Irregularities, malpractices or maladministration in the affairs of the SAPO in relation</w:t>
      </w:r>
      <w:r>
        <w:rPr>
          <w:spacing w:val="-2"/>
          <w:sz w:val="24"/>
        </w:rPr>
        <w:t xml:space="preserve"> </w:t>
      </w:r>
      <w:r>
        <w:rPr>
          <w:sz w:val="24"/>
        </w:rPr>
        <w:t>to:</w:t>
      </w:r>
    </w:p>
    <w:p w:rsidR="00D5328E" w:rsidRDefault="00E7452A">
      <w:pPr>
        <w:pStyle w:val="ListParagraph"/>
        <w:numPr>
          <w:ilvl w:val="2"/>
          <w:numId w:val="2"/>
        </w:numPr>
        <w:tabs>
          <w:tab w:val="left" w:pos="2389"/>
          <w:tab w:val="left" w:pos="2390"/>
        </w:tabs>
        <w:rPr>
          <w:sz w:val="24"/>
        </w:rPr>
      </w:pPr>
      <w:r>
        <w:rPr>
          <w:sz w:val="24"/>
        </w:rPr>
        <w:t>The management of immovable</w:t>
      </w:r>
      <w:r>
        <w:rPr>
          <w:spacing w:val="-4"/>
          <w:sz w:val="24"/>
        </w:rPr>
        <w:t xml:space="preserve"> </w:t>
      </w:r>
      <w:r>
        <w:rPr>
          <w:sz w:val="24"/>
        </w:rPr>
        <w:t>property;</w:t>
      </w:r>
    </w:p>
    <w:p w:rsidR="00D5328E" w:rsidRDefault="00E7452A">
      <w:pPr>
        <w:pStyle w:val="ListParagraph"/>
        <w:numPr>
          <w:ilvl w:val="2"/>
          <w:numId w:val="2"/>
        </w:numPr>
        <w:tabs>
          <w:tab w:val="left" w:pos="2389"/>
          <w:tab w:val="left" w:pos="2390"/>
        </w:tabs>
        <w:spacing w:before="139"/>
        <w:rPr>
          <w:sz w:val="24"/>
        </w:rPr>
      </w:pPr>
      <w:r>
        <w:rPr>
          <w:sz w:val="24"/>
        </w:rPr>
        <w:t xml:space="preserve">The implementation of the </w:t>
      </w:r>
      <w:proofErr w:type="spellStart"/>
      <w:r>
        <w:rPr>
          <w:sz w:val="24"/>
        </w:rPr>
        <w:t>WebRipost</w:t>
      </w:r>
      <w:proofErr w:type="spellEnd"/>
      <w:r>
        <w:rPr>
          <w:spacing w:val="-9"/>
          <w:sz w:val="24"/>
        </w:rPr>
        <w:t xml:space="preserve"> </w:t>
      </w:r>
      <w:r>
        <w:rPr>
          <w:sz w:val="24"/>
        </w:rPr>
        <w:t>system;</w:t>
      </w:r>
    </w:p>
    <w:p w:rsidR="00D5328E" w:rsidRDefault="00E7452A">
      <w:pPr>
        <w:pStyle w:val="ListParagraph"/>
        <w:numPr>
          <w:ilvl w:val="2"/>
          <w:numId w:val="2"/>
        </w:numPr>
        <w:tabs>
          <w:tab w:val="left" w:pos="2389"/>
          <w:tab w:val="left" w:pos="2390"/>
        </w:tabs>
        <w:spacing w:before="138"/>
        <w:rPr>
          <w:sz w:val="24"/>
        </w:rPr>
      </w:pPr>
      <w:r>
        <w:rPr>
          <w:sz w:val="24"/>
        </w:rPr>
        <w:t>Loans granted to Courier and Freight Group (Pty) Ltd;</w:t>
      </w:r>
      <w:r>
        <w:rPr>
          <w:spacing w:val="-9"/>
          <w:sz w:val="24"/>
        </w:rPr>
        <w:t xml:space="preserve"> </w:t>
      </w:r>
      <w:r>
        <w:rPr>
          <w:sz w:val="24"/>
        </w:rPr>
        <w:t>and</w:t>
      </w:r>
    </w:p>
    <w:p w:rsidR="00D5328E" w:rsidRDefault="00E7452A">
      <w:pPr>
        <w:pStyle w:val="ListParagraph"/>
        <w:numPr>
          <w:ilvl w:val="2"/>
          <w:numId w:val="2"/>
        </w:numPr>
        <w:tabs>
          <w:tab w:val="left" w:pos="2389"/>
          <w:tab w:val="left" w:pos="2390"/>
        </w:tabs>
        <w:spacing w:before="139" w:line="360" w:lineRule="auto"/>
        <w:ind w:left="2497" w:right="655" w:hanging="708"/>
        <w:rPr>
          <w:sz w:val="24"/>
        </w:rPr>
      </w:pPr>
      <w:r>
        <w:rPr>
          <w:sz w:val="24"/>
        </w:rPr>
        <w:t>The failure by official</w:t>
      </w:r>
      <w:r>
        <w:rPr>
          <w:sz w:val="24"/>
        </w:rPr>
        <w:t>s or employees of the SAPO to take necessary steps to prevent the SAPO from suffering financial losses or damages as a result of industrial</w:t>
      </w:r>
      <w:r>
        <w:rPr>
          <w:spacing w:val="-5"/>
          <w:sz w:val="24"/>
        </w:rPr>
        <w:t xml:space="preserve"> </w:t>
      </w:r>
      <w:r>
        <w:rPr>
          <w:sz w:val="24"/>
        </w:rPr>
        <w:t>action.</w:t>
      </w:r>
    </w:p>
    <w:p w:rsidR="00D5328E" w:rsidRDefault="00D5328E">
      <w:pPr>
        <w:spacing w:line="360" w:lineRule="auto"/>
        <w:rPr>
          <w:sz w:val="24"/>
        </w:rPr>
        <w:sectPr w:rsidR="00D5328E">
          <w:type w:val="continuous"/>
          <w:pgSz w:w="12240" w:h="15840"/>
          <w:pgMar w:top="1340" w:right="1240" w:bottom="280" w:left="1360" w:header="720" w:footer="720" w:gutter="0"/>
          <w:cols w:space="720"/>
        </w:sectPr>
      </w:pPr>
    </w:p>
    <w:p w:rsidR="00D5328E" w:rsidRDefault="00E7452A">
      <w:pPr>
        <w:pStyle w:val="ListParagraph"/>
        <w:numPr>
          <w:ilvl w:val="1"/>
          <w:numId w:val="2"/>
        </w:numPr>
        <w:tabs>
          <w:tab w:val="left" w:pos="1669"/>
          <w:tab w:val="left" w:pos="1670"/>
        </w:tabs>
        <w:spacing w:before="76" w:line="360" w:lineRule="auto"/>
        <w:ind w:right="120" w:hanging="852"/>
        <w:rPr>
          <w:sz w:val="24"/>
        </w:rPr>
      </w:pPr>
      <w:r>
        <w:rPr>
          <w:sz w:val="24"/>
        </w:rPr>
        <w:lastRenderedPageBreak/>
        <w:t>Irregularities relating to the recruitment, selection and appointment of officials or employees of the</w:t>
      </w:r>
      <w:r>
        <w:rPr>
          <w:spacing w:val="-2"/>
          <w:sz w:val="24"/>
        </w:rPr>
        <w:t xml:space="preserve"> </w:t>
      </w:r>
      <w:r>
        <w:rPr>
          <w:sz w:val="24"/>
        </w:rPr>
        <w:t>SAPO.</w:t>
      </w:r>
    </w:p>
    <w:p w:rsidR="00D5328E" w:rsidRDefault="00D5328E">
      <w:pPr>
        <w:pStyle w:val="BodyText"/>
        <w:spacing w:before="11"/>
        <w:rPr>
          <w:sz w:val="35"/>
        </w:rPr>
      </w:pPr>
    </w:p>
    <w:p w:rsidR="00D5328E" w:rsidRDefault="00E7452A">
      <w:pPr>
        <w:pStyle w:val="ListParagraph"/>
        <w:numPr>
          <w:ilvl w:val="1"/>
          <w:numId w:val="2"/>
        </w:numPr>
        <w:tabs>
          <w:tab w:val="left" w:pos="1669"/>
          <w:tab w:val="left" w:pos="1670"/>
        </w:tabs>
        <w:spacing w:line="360" w:lineRule="auto"/>
        <w:ind w:right="122" w:hanging="852"/>
        <w:rPr>
          <w:sz w:val="24"/>
        </w:rPr>
      </w:pPr>
      <w:r>
        <w:rPr>
          <w:sz w:val="24"/>
        </w:rPr>
        <w:t>Payments which were made by the SAPO to fictitious officials or employees.</w:t>
      </w:r>
    </w:p>
    <w:p w:rsidR="00D5328E" w:rsidRDefault="00D5328E">
      <w:pPr>
        <w:pStyle w:val="BodyText"/>
        <w:spacing w:before="1"/>
        <w:rPr>
          <w:sz w:val="36"/>
        </w:rPr>
      </w:pPr>
    </w:p>
    <w:p w:rsidR="00D5328E" w:rsidRDefault="00E7452A">
      <w:pPr>
        <w:pStyle w:val="ListParagraph"/>
        <w:numPr>
          <w:ilvl w:val="1"/>
          <w:numId w:val="2"/>
        </w:numPr>
        <w:tabs>
          <w:tab w:val="left" w:pos="1669"/>
          <w:tab w:val="left" w:pos="1670"/>
        </w:tabs>
        <w:spacing w:line="360" w:lineRule="auto"/>
        <w:ind w:right="120" w:hanging="852"/>
        <w:rPr>
          <w:sz w:val="24"/>
        </w:rPr>
      </w:pPr>
      <w:r>
        <w:rPr>
          <w:sz w:val="24"/>
        </w:rPr>
        <w:t xml:space="preserve">Any undisclosed or </w:t>
      </w:r>
      <w:r w:rsidR="006C5CE2">
        <w:rPr>
          <w:sz w:val="24"/>
        </w:rPr>
        <w:t>unauthorized</w:t>
      </w:r>
      <w:r>
        <w:rPr>
          <w:sz w:val="24"/>
        </w:rPr>
        <w:t xml:space="preserve"> interests the officials or employees of the SAPO have had with regard to</w:t>
      </w:r>
      <w:r>
        <w:rPr>
          <w:spacing w:val="1"/>
          <w:sz w:val="24"/>
        </w:rPr>
        <w:t xml:space="preserve"> </w:t>
      </w:r>
      <w:r>
        <w:rPr>
          <w:sz w:val="24"/>
        </w:rPr>
        <w:t>–</w:t>
      </w:r>
    </w:p>
    <w:p w:rsidR="00D5328E" w:rsidRDefault="00E7452A">
      <w:pPr>
        <w:pStyle w:val="ListParagraph"/>
        <w:numPr>
          <w:ilvl w:val="2"/>
          <w:numId w:val="2"/>
        </w:numPr>
        <w:tabs>
          <w:tab w:val="left" w:pos="2389"/>
          <w:tab w:val="left" w:pos="2390"/>
        </w:tabs>
        <w:spacing w:line="360" w:lineRule="auto"/>
        <w:ind w:left="2497" w:right="119" w:hanging="708"/>
        <w:rPr>
          <w:sz w:val="24"/>
        </w:rPr>
      </w:pPr>
      <w:r>
        <w:rPr>
          <w:sz w:val="24"/>
        </w:rPr>
        <w:t>Vendors, contractors, suppliers or service providers who bid for work or did business with the</w:t>
      </w:r>
      <w:r>
        <w:rPr>
          <w:spacing w:val="-4"/>
          <w:sz w:val="24"/>
        </w:rPr>
        <w:t xml:space="preserve"> </w:t>
      </w:r>
      <w:r>
        <w:rPr>
          <w:sz w:val="24"/>
        </w:rPr>
        <w:t>SAPO;</w:t>
      </w:r>
    </w:p>
    <w:p w:rsidR="00D5328E" w:rsidRDefault="00E7452A">
      <w:pPr>
        <w:pStyle w:val="ListParagraph"/>
        <w:numPr>
          <w:ilvl w:val="2"/>
          <w:numId w:val="2"/>
        </w:numPr>
        <w:tabs>
          <w:tab w:val="left" w:pos="2389"/>
          <w:tab w:val="left" w:pos="2390"/>
        </w:tabs>
        <w:spacing w:before="1"/>
        <w:rPr>
          <w:sz w:val="24"/>
        </w:rPr>
      </w:pPr>
      <w:r>
        <w:rPr>
          <w:sz w:val="24"/>
        </w:rPr>
        <w:t>Contracts awarded by or on behalf of the</w:t>
      </w:r>
      <w:r>
        <w:rPr>
          <w:spacing w:val="-8"/>
          <w:sz w:val="24"/>
        </w:rPr>
        <w:t xml:space="preserve"> </w:t>
      </w:r>
      <w:r>
        <w:rPr>
          <w:sz w:val="24"/>
        </w:rPr>
        <w:t>SAPO;</w:t>
      </w:r>
    </w:p>
    <w:p w:rsidR="00D5328E" w:rsidRDefault="00D5328E">
      <w:pPr>
        <w:pStyle w:val="BodyText"/>
        <w:rPr>
          <w:sz w:val="26"/>
        </w:rPr>
      </w:pPr>
    </w:p>
    <w:p w:rsidR="00D5328E" w:rsidRDefault="00D5328E">
      <w:pPr>
        <w:pStyle w:val="BodyText"/>
        <w:rPr>
          <w:sz w:val="22"/>
        </w:rPr>
      </w:pPr>
    </w:p>
    <w:p w:rsidR="00D5328E" w:rsidRDefault="00E7452A">
      <w:pPr>
        <w:pStyle w:val="ListParagraph"/>
        <w:numPr>
          <w:ilvl w:val="1"/>
          <w:numId w:val="2"/>
        </w:numPr>
        <w:tabs>
          <w:tab w:val="left" w:pos="1669"/>
          <w:tab w:val="left" w:pos="1670"/>
        </w:tabs>
        <w:ind w:left="1669"/>
        <w:rPr>
          <w:sz w:val="24"/>
        </w:rPr>
      </w:pPr>
      <w:r>
        <w:rPr>
          <w:sz w:val="24"/>
        </w:rPr>
        <w:t>The Terms of Proclamation R56 of 2014 was to investigate the</w:t>
      </w:r>
      <w:r>
        <w:rPr>
          <w:spacing w:val="-20"/>
          <w:sz w:val="24"/>
        </w:rPr>
        <w:t xml:space="preserve"> </w:t>
      </w:r>
      <w:r>
        <w:rPr>
          <w:sz w:val="24"/>
        </w:rPr>
        <w:t>following:</w:t>
      </w:r>
    </w:p>
    <w:p w:rsidR="00D5328E" w:rsidRDefault="00E7452A">
      <w:pPr>
        <w:pStyle w:val="ListParagraph"/>
        <w:numPr>
          <w:ilvl w:val="2"/>
          <w:numId w:val="2"/>
        </w:numPr>
        <w:tabs>
          <w:tab w:val="left" w:pos="2389"/>
          <w:tab w:val="left" w:pos="2390"/>
        </w:tabs>
        <w:spacing w:before="137" w:line="360" w:lineRule="auto"/>
        <w:ind w:left="2497" w:right="118" w:hanging="708"/>
        <w:rPr>
          <w:sz w:val="24"/>
        </w:rPr>
      </w:pPr>
      <w:r>
        <w:rPr>
          <w:sz w:val="24"/>
        </w:rPr>
        <w:t>The further extension of Proclamation R5 of 2014, by addition of the following paragraph after paragraph 5 of the</w:t>
      </w:r>
      <w:r>
        <w:rPr>
          <w:spacing w:val="-12"/>
          <w:sz w:val="24"/>
        </w:rPr>
        <w:t xml:space="preserve"> </w:t>
      </w:r>
      <w:r>
        <w:rPr>
          <w:sz w:val="24"/>
        </w:rPr>
        <w:t>Schedule;</w:t>
      </w:r>
    </w:p>
    <w:p w:rsidR="00D5328E" w:rsidRDefault="00E7452A">
      <w:pPr>
        <w:pStyle w:val="ListParagraph"/>
        <w:numPr>
          <w:ilvl w:val="2"/>
          <w:numId w:val="2"/>
        </w:numPr>
        <w:tabs>
          <w:tab w:val="left" w:pos="2389"/>
          <w:tab w:val="left" w:pos="2390"/>
        </w:tabs>
        <w:spacing w:line="360" w:lineRule="auto"/>
        <w:ind w:left="2497" w:right="121" w:hanging="708"/>
        <w:rPr>
          <w:sz w:val="24"/>
        </w:rPr>
      </w:pPr>
      <w:r>
        <w:rPr>
          <w:sz w:val="24"/>
        </w:rPr>
        <w:t>“6” Irregular conduct by the Board members of the SAPO in relation to the matters set out in paragraphs 1 and 3</w:t>
      </w:r>
      <w:r>
        <w:rPr>
          <w:spacing w:val="-15"/>
          <w:sz w:val="24"/>
        </w:rPr>
        <w:t xml:space="preserve"> </w:t>
      </w:r>
      <w:r>
        <w:rPr>
          <w:sz w:val="24"/>
        </w:rPr>
        <w:t>above”.</w:t>
      </w:r>
    </w:p>
    <w:p w:rsidR="00D5328E" w:rsidRDefault="00D5328E">
      <w:pPr>
        <w:pStyle w:val="BodyText"/>
        <w:rPr>
          <w:sz w:val="26"/>
        </w:rPr>
      </w:pPr>
    </w:p>
    <w:p w:rsidR="00D5328E" w:rsidRDefault="00D5328E">
      <w:pPr>
        <w:pStyle w:val="BodyText"/>
        <w:spacing w:before="3"/>
        <w:rPr>
          <w:sz w:val="22"/>
        </w:rPr>
      </w:pPr>
    </w:p>
    <w:p w:rsidR="00D5328E" w:rsidRDefault="00E7452A">
      <w:pPr>
        <w:pStyle w:val="Heading1"/>
        <w:numPr>
          <w:ilvl w:val="0"/>
          <w:numId w:val="2"/>
        </w:numPr>
        <w:tabs>
          <w:tab w:val="left" w:pos="949"/>
          <w:tab w:val="left" w:pos="950"/>
        </w:tabs>
      </w:pPr>
      <w:r>
        <w:t>What was the outcome of each finalised investigation</w:t>
      </w:r>
      <w:r>
        <w:rPr>
          <w:spacing w:val="-2"/>
        </w:rPr>
        <w:t xml:space="preserve"> </w:t>
      </w:r>
      <w:r>
        <w:t>and;</w:t>
      </w:r>
    </w:p>
    <w:p w:rsidR="00D5328E" w:rsidRDefault="00D5328E">
      <w:pPr>
        <w:pStyle w:val="BodyText"/>
        <w:spacing w:before="5"/>
        <w:rPr>
          <w:b/>
        </w:rPr>
      </w:pPr>
    </w:p>
    <w:p w:rsidR="00D5328E" w:rsidRDefault="00E7452A">
      <w:pPr>
        <w:pStyle w:val="BodyText"/>
        <w:ind w:left="949"/>
      </w:pPr>
      <w:r>
        <w:rPr>
          <w:u w:val="single"/>
        </w:rPr>
        <w:t>Response:</w:t>
      </w:r>
    </w:p>
    <w:p w:rsidR="00D5328E" w:rsidRDefault="00D5328E">
      <w:pPr>
        <w:pStyle w:val="BodyText"/>
        <w:spacing w:before="11"/>
        <w:rPr>
          <w:sz w:val="15"/>
        </w:rPr>
      </w:pPr>
    </w:p>
    <w:p w:rsidR="00D5328E" w:rsidRDefault="00E7452A">
      <w:pPr>
        <w:pStyle w:val="BodyText"/>
        <w:spacing w:before="92" w:line="360" w:lineRule="auto"/>
        <w:ind w:left="949" w:right="117"/>
        <w:jc w:val="both"/>
      </w:pPr>
      <w:r>
        <w:t>The outcome of the investigations is contained in the recommenda</w:t>
      </w:r>
      <w:r>
        <w:t xml:space="preserve">tions in the table below. In addition a criminal case has been lodged with the South African Police Services and the National Prosecuting Authority as well as a civil case seeking to set aside the lease contract for the </w:t>
      </w:r>
      <w:proofErr w:type="spellStart"/>
      <w:r>
        <w:t>Ecopoint</w:t>
      </w:r>
      <w:proofErr w:type="spellEnd"/>
      <w:r>
        <w:t xml:space="preserve"> building together with a cl</w:t>
      </w:r>
      <w:r>
        <w:t>aim for all rentals paid by SAPO to M&amp;T Properties. The civil case has been set for the 18 – 22 November 2019 in the North Gauteng High Court. SAPO officials implicated in the investigation have faced disciplinary action and as at current date, no official</w:t>
      </w:r>
      <w:r>
        <w:t>s implicated are still in the employ of</w:t>
      </w:r>
      <w:r>
        <w:rPr>
          <w:spacing w:val="-9"/>
        </w:rPr>
        <w:t xml:space="preserve"> </w:t>
      </w:r>
      <w:r>
        <w:t>SAPO.</w:t>
      </w:r>
    </w:p>
    <w:p w:rsidR="00D5328E" w:rsidRDefault="00D5328E">
      <w:pPr>
        <w:pStyle w:val="BodyText"/>
        <w:spacing w:before="3"/>
      </w:pPr>
    </w:p>
    <w:p w:rsidR="00D5328E" w:rsidRDefault="00E7452A">
      <w:pPr>
        <w:pStyle w:val="Heading1"/>
        <w:numPr>
          <w:ilvl w:val="0"/>
          <w:numId w:val="2"/>
        </w:numPr>
        <w:tabs>
          <w:tab w:val="left" w:pos="949"/>
          <w:tab w:val="left" w:pos="950"/>
        </w:tabs>
        <w:spacing w:before="1"/>
        <w:rPr>
          <w:b w:val="0"/>
        </w:rPr>
      </w:pPr>
      <w:r>
        <w:t>What is the current status of each incomplete</w:t>
      </w:r>
      <w:r>
        <w:rPr>
          <w:spacing w:val="-6"/>
        </w:rPr>
        <w:t xml:space="preserve"> </w:t>
      </w:r>
      <w:r>
        <w:t>investigation</w:t>
      </w:r>
      <w:r>
        <w:rPr>
          <w:b w:val="0"/>
        </w:rPr>
        <w:t>?</w:t>
      </w:r>
    </w:p>
    <w:p w:rsidR="00D5328E" w:rsidRDefault="00D5328E">
      <w:pPr>
        <w:pStyle w:val="BodyText"/>
        <w:spacing w:before="7"/>
      </w:pPr>
    </w:p>
    <w:p w:rsidR="00D5328E" w:rsidRDefault="00E7452A">
      <w:pPr>
        <w:pStyle w:val="BodyText"/>
        <w:ind w:left="949"/>
        <w:jc w:val="both"/>
      </w:pPr>
      <w:r>
        <w:rPr>
          <w:u w:val="single"/>
        </w:rPr>
        <w:t>Response:</w:t>
      </w:r>
    </w:p>
    <w:p w:rsidR="00D5328E" w:rsidRDefault="00D5328E">
      <w:pPr>
        <w:jc w:val="both"/>
        <w:sectPr w:rsidR="00D5328E">
          <w:pgSz w:w="12240" w:h="15840"/>
          <w:pgMar w:top="1340" w:right="1240" w:bottom="280" w:left="1360" w:header="720" w:footer="720" w:gutter="0"/>
          <w:cols w:space="720"/>
        </w:sectPr>
      </w:pPr>
    </w:p>
    <w:p w:rsidR="00D5328E" w:rsidRDefault="00E7452A">
      <w:pPr>
        <w:pStyle w:val="BodyText"/>
        <w:spacing w:before="71" w:line="360" w:lineRule="auto"/>
        <w:ind w:left="949" w:right="115"/>
        <w:jc w:val="both"/>
      </w:pPr>
      <w:r>
        <w:lastRenderedPageBreak/>
        <w:t>SAPO received correspondence from the Presidency on the 2</w:t>
      </w:r>
      <w:proofErr w:type="spellStart"/>
      <w:r>
        <w:rPr>
          <w:position w:val="8"/>
          <w:sz w:val="16"/>
        </w:rPr>
        <w:t>nd</w:t>
      </w:r>
      <w:proofErr w:type="spellEnd"/>
      <w:r>
        <w:rPr>
          <w:position w:val="8"/>
          <w:sz w:val="16"/>
        </w:rPr>
        <w:t xml:space="preserve"> </w:t>
      </w:r>
      <w:r>
        <w:t>October 2018 advising it that the SIU had concluded its investigati</w:t>
      </w:r>
      <w:r>
        <w:t>ons in respect of the above proclamations. Consequently, all investigations by the SIU have been completed, however, there are recommendations from the reports that still need to be finalised. The table below indicates the status of the various recommendat</w:t>
      </w:r>
      <w:r>
        <w:t>ions:</w:t>
      </w:r>
    </w:p>
    <w:p w:rsidR="00D5328E" w:rsidRDefault="00D5328E">
      <w:pPr>
        <w:pStyle w:val="BodyText"/>
        <w:rPr>
          <w:sz w:val="20"/>
        </w:rPr>
      </w:pPr>
    </w:p>
    <w:p w:rsidR="00D5328E" w:rsidRDefault="00D5328E">
      <w:pPr>
        <w:pStyle w:val="BodyText"/>
        <w:spacing w:before="5"/>
        <w:rPr>
          <w:sz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278"/>
        </w:trPr>
        <w:tc>
          <w:tcPr>
            <w:tcW w:w="3005" w:type="dxa"/>
            <w:shd w:val="clear" w:color="auto" w:fill="F1DBDB"/>
          </w:tcPr>
          <w:p w:rsidR="00D5328E" w:rsidRDefault="00E7452A">
            <w:pPr>
              <w:pStyle w:val="TableParagraph"/>
              <w:spacing w:line="258" w:lineRule="exact"/>
              <w:ind w:left="561"/>
              <w:rPr>
                <w:sz w:val="24"/>
              </w:rPr>
            </w:pPr>
            <w:r>
              <w:rPr>
                <w:sz w:val="24"/>
              </w:rPr>
              <w:t>Recommendation</w:t>
            </w:r>
          </w:p>
        </w:tc>
        <w:tc>
          <w:tcPr>
            <w:tcW w:w="3005" w:type="dxa"/>
            <w:shd w:val="clear" w:color="auto" w:fill="F1DBDB"/>
          </w:tcPr>
          <w:p w:rsidR="00D5328E" w:rsidRDefault="00E7452A">
            <w:pPr>
              <w:pStyle w:val="TableParagraph"/>
              <w:spacing w:line="258" w:lineRule="exact"/>
              <w:ind w:left="962"/>
              <w:rPr>
                <w:sz w:val="24"/>
              </w:rPr>
            </w:pPr>
            <w:r>
              <w:rPr>
                <w:sz w:val="24"/>
              </w:rPr>
              <w:t>Response</w:t>
            </w:r>
          </w:p>
        </w:tc>
        <w:tc>
          <w:tcPr>
            <w:tcW w:w="3008" w:type="dxa"/>
            <w:shd w:val="clear" w:color="auto" w:fill="F1DBDB"/>
          </w:tcPr>
          <w:p w:rsidR="00D5328E" w:rsidRDefault="00E7452A">
            <w:pPr>
              <w:pStyle w:val="TableParagraph"/>
              <w:spacing w:line="258" w:lineRule="exact"/>
              <w:ind w:left="1143" w:right="1134"/>
              <w:jc w:val="center"/>
              <w:rPr>
                <w:sz w:val="24"/>
              </w:rPr>
            </w:pPr>
            <w:r>
              <w:rPr>
                <w:sz w:val="24"/>
              </w:rPr>
              <w:t>Status</w:t>
            </w:r>
          </w:p>
        </w:tc>
      </w:tr>
      <w:tr w:rsidR="00D5328E">
        <w:trPr>
          <w:trHeight w:val="8278"/>
        </w:trPr>
        <w:tc>
          <w:tcPr>
            <w:tcW w:w="3005" w:type="dxa"/>
          </w:tcPr>
          <w:p w:rsidR="00D5328E" w:rsidRDefault="00E7452A">
            <w:pPr>
              <w:pStyle w:val="TableParagraph"/>
              <w:spacing w:line="360" w:lineRule="auto"/>
              <w:ind w:left="107" w:right="266"/>
              <w:rPr>
                <w:sz w:val="24"/>
              </w:rPr>
            </w:pPr>
            <w:r>
              <w:rPr>
                <w:sz w:val="24"/>
              </w:rPr>
              <w:t>SAPO should approach the Auditor General for purposes of dealing with the irregular expenditure amounting to R 2 735</w:t>
            </w:r>
          </w:p>
        </w:tc>
        <w:tc>
          <w:tcPr>
            <w:tcW w:w="3005" w:type="dxa"/>
          </w:tcPr>
          <w:p w:rsidR="00D5328E" w:rsidRDefault="00E7452A">
            <w:pPr>
              <w:pStyle w:val="TableParagraph"/>
              <w:spacing w:line="360" w:lineRule="auto"/>
              <w:ind w:right="119"/>
              <w:rPr>
                <w:sz w:val="24"/>
              </w:rPr>
            </w:pPr>
            <w:r>
              <w:rPr>
                <w:sz w:val="24"/>
              </w:rPr>
              <w:t xml:space="preserve">SAPO established a Financial Misconduct Committee (FMC) in </w:t>
            </w:r>
            <w:r>
              <w:rPr>
                <w:spacing w:val="-3"/>
                <w:sz w:val="24"/>
              </w:rPr>
              <w:t xml:space="preserve">2015 </w:t>
            </w:r>
            <w:r>
              <w:rPr>
                <w:sz w:val="24"/>
              </w:rPr>
              <w:t>and has since its inception led to a significant reduction in irregular</w:t>
            </w:r>
            <w:r>
              <w:rPr>
                <w:spacing w:val="-1"/>
                <w:sz w:val="24"/>
              </w:rPr>
              <w:t xml:space="preserve"> </w:t>
            </w:r>
            <w:r>
              <w:rPr>
                <w:sz w:val="24"/>
              </w:rPr>
              <w:t>expenditure.</w:t>
            </w:r>
          </w:p>
          <w:p w:rsidR="00D5328E" w:rsidRDefault="00E7452A">
            <w:pPr>
              <w:pStyle w:val="TableParagraph"/>
              <w:spacing w:line="360" w:lineRule="auto"/>
              <w:ind w:right="150"/>
              <w:rPr>
                <w:sz w:val="24"/>
              </w:rPr>
            </w:pPr>
            <w:r>
              <w:rPr>
                <w:sz w:val="24"/>
              </w:rPr>
              <w:t>This matter was not initially addressed, as the SIU report had not been shared with management in its totality. The FMC will in addition process this irregular expenditure</w:t>
            </w:r>
            <w:r>
              <w:rPr>
                <w:sz w:val="24"/>
              </w:rPr>
              <w:t xml:space="preserve"> for </w:t>
            </w:r>
            <w:proofErr w:type="spellStart"/>
            <w:r>
              <w:rPr>
                <w:sz w:val="24"/>
              </w:rPr>
              <w:t>condonation</w:t>
            </w:r>
            <w:proofErr w:type="spellEnd"/>
            <w:r>
              <w:rPr>
                <w:sz w:val="24"/>
              </w:rPr>
              <w:t xml:space="preserve"> with the Auditor-General, and </w:t>
            </w:r>
            <w:r>
              <w:rPr>
                <w:spacing w:val="-4"/>
                <w:sz w:val="24"/>
              </w:rPr>
              <w:t xml:space="preserve">also </w:t>
            </w:r>
            <w:r>
              <w:rPr>
                <w:sz w:val="24"/>
              </w:rPr>
              <w:t>review the SIU Report in its entire in order to identify and</w:t>
            </w:r>
            <w:r>
              <w:rPr>
                <w:spacing w:val="-6"/>
                <w:sz w:val="24"/>
              </w:rPr>
              <w:t xml:space="preserve"> </w:t>
            </w:r>
            <w:r>
              <w:rPr>
                <w:sz w:val="24"/>
              </w:rPr>
              <w:t>strengthen</w:t>
            </w:r>
          </w:p>
          <w:p w:rsidR="00D5328E" w:rsidRDefault="00E7452A">
            <w:pPr>
              <w:pStyle w:val="TableParagraph"/>
              <w:rPr>
                <w:sz w:val="24"/>
              </w:rPr>
            </w:pPr>
            <w:r>
              <w:rPr>
                <w:sz w:val="24"/>
              </w:rPr>
              <w:t>any control weaknesses</w:t>
            </w:r>
          </w:p>
        </w:tc>
        <w:tc>
          <w:tcPr>
            <w:tcW w:w="3008" w:type="dxa"/>
          </w:tcPr>
          <w:p w:rsidR="00D5328E" w:rsidRDefault="00E7452A">
            <w:pPr>
              <w:pStyle w:val="TableParagraph"/>
              <w:spacing w:line="360" w:lineRule="auto"/>
              <w:ind w:right="99"/>
              <w:rPr>
                <w:i/>
                <w:sz w:val="24"/>
              </w:rPr>
            </w:pPr>
            <w:r>
              <w:rPr>
                <w:i/>
                <w:sz w:val="24"/>
              </w:rPr>
              <w:t xml:space="preserve">SAPO has submitted </w:t>
            </w:r>
            <w:proofErr w:type="spellStart"/>
            <w:proofErr w:type="gramStart"/>
            <w:r>
              <w:rPr>
                <w:i/>
                <w:sz w:val="24"/>
              </w:rPr>
              <w:t>a</w:t>
            </w:r>
            <w:proofErr w:type="spellEnd"/>
            <w:r>
              <w:rPr>
                <w:i/>
                <w:sz w:val="24"/>
              </w:rPr>
              <w:t xml:space="preserve"> the</w:t>
            </w:r>
            <w:proofErr w:type="gramEnd"/>
            <w:r>
              <w:rPr>
                <w:i/>
                <w:sz w:val="24"/>
              </w:rPr>
              <w:t xml:space="preserve"> request for </w:t>
            </w:r>
            <w:proofErr w:type="spellStart"/>
            <w:r>
              <w:rPr>
                <w:i/>
                <w:sz w:val="24"/>
              </w:rPr>
              <w:t>condonation</w:t>
            </w:r>
            <w:proofErr w:type="spellEnd"/>
            <w:r>
              <w:rPr>
                <w:i/>
                <w:sz w:val="24"/>
              </w:rPr>
              <w:t xml:space="preserve"> to National Treasury. Further information required by Nation</w:t>
            </w:r>
            <w:r>
              <w:rPr>
                <w:i/>
                <w:sz w:val="24"/>
              </w:rPr>
              <w:t xml:space="preserve">al Treasury was provided including the </w:t>
            </w:r>
            <w:r>
              <w:rPr>
                <w:i/>
                <w:spacing w:val="-3"/>
                <w:sz w:val="24"/>
              </w:rPr>
              <w:t xml:space="preserve">fact </w:t>
            </w:r>
            <w:r>
              <w:rPr>
                <w:i/>
                <w:sz w:val="24"/>
              </w:rPr>
              <w:t>that action was taken against the employees involved. SAPO still awaiting final outcome from National</w:t>
            </w:r>
            <w:r>
              <w:rPr>
                <w:i/>
                <w:spacing w:val="-5"/>
                <w:sz w:val="24"/>
              </w:rPr>
              <w:t xml:space="preserve"> </w:t>
            </w:r>
            <w:r>
              <w:rPr>
                <w:i/>
                <w:sz w:val="24"/>
              </w:rPr>
              <w:t>Treasury</w:t>
            </w:r>
          </w:p>
        </w:tc>
      </w:tr>
      <w:tr w:rsidR="00D5328E">
        <w:trPr>
          <w:trHeight w:val="1242"/>
        </w:trPr>
        <w:tc>
          <w:tcPr>
            <w:tcW w:w="3005" w:type="dxa"/>
          </w:tcPr>
          <w:p w:rsidR="00D5328E" w:rsidRDefault="00E7452A">
            <w:pPr>
              <w:pStyle w:val="TableParagraph"/>
              <w:spacing w:line="360" w:lineRule="auto"/>
              <w:ind w:left="107" w:right="559"/>
              <w:rPr>
                <w:sz w:val="24"/>
              </w:rPr>
            </w:pPr>
            <w:r>
              <w:rPr>
                <w:sz w:val="24"/>
              </w:rPr>
              <w:t>The SAPO should approach the Auditor-</w:t>
            </w:r>
          </w:p>
          <w:p w:rsidR="00D5328E" w:rsidRDefault="00E7452A">
            <w:pPr>
              <w:pStyle w:val="TableParagraph"/>
              <w:ind w:left="107"/>
              <w:rPr>
                <w:sz w:val="24"/>
              </w:rPr>
            </w:pPr>
            <w:r>
              <w:rPr>
                <w:sz w:val="24"/>
              </w:rPr>
              <w:t>General for purposes of</w:t>
            </w:r>
          </w:p>
        </w:tc>
        <w:tc>
          <w:tcPr>
            <w:tcW w:w="3005" w:type="dxa"/>
          </w:tcPr>
          <w:p w:rsidR="00D5328E" w:rsidRDefault="00E7452A">
            <w:pPr>
              <w:pStyle w:val="TableParagraph"/>
              <w:spacing w:line="360" w:lineRule="auto"/>
              <w:ind w:right="626"/>
              <w:rPr>
                <w:sz w:val="24"/>
              </w:rPr>
            </w:pPr>
            <w:r>
              <w:rPr>
                <w:sz w:val="24"/>
              </w:rPr>
              <w:t>SAPO established a Financial Misconduct</w:t>
            </w:r>
          </w:p>
          <w:p w:rsidR="00D5328E" w:rsidRDefault="00E7452A">
            <w:pPr>
              <w:pStyle w:val="TableParagraph"/>
              <w:rPr>
                <w:sz w:val="24"/>
              </w:rPr>
            </w:pPr>
            <w:r>
              <w:rPr>
                <w:sz w:val="24"/>
              </w:rPr>
              <w:t>Committee (FMC) in 2015</w:t>
            </w:r>
          </w:p>
        </w:tc>
        <w:tc>
          <w:tcPr>
            <w:tcW w:w="3008" w:type="dxa"/>
          </w:tcPr>
          <w:p w:rsidR="00D5328E" w:rsidRDefault="00E7452A">
            <w:pPr>
              <w:pStyle w:val="TableParagraph"/>
              <w:spacing w:line="360" w:lineRule="auto"/>
              <w:ind w:right="442"/>
              <w:rPr>
                <w:i/>
                <w:sz w:val="24"/>
              </w:rPr>
            </w:pPr>
            <w:r>
              <w:rPr>
                <w:i/>
                <w:sz w:val="24"/>
              </w:rPr>
              <w:t xml:space="preserve">SAPO has submitted </w:t>
            </w:r>
            <w:proofErr w:type="spellStart"/>
            <w:r>
              <w:rPr>
                <w:i/>
                <w:sz w:val="24"/>
              </w:rPr>
              <w:t>a</w:t>
            </w:r>
            <w:proofErr w:type="spellEnd"/>
            <w:r>
              <w:rPr>
                <w:i/>
                <w:sz w:val="24"/>
              </w:rPr>
              <w:t xml:space="preserve"> the request for</w:t>
            </w:r>
          </w:p>
          <w:p w:rsidR="00D5328E" w:rsidRDefault="00E7452A">
            <w:pPr>
              <w:pStyle w:val="TableParagraph"/>
              <w:rPr>
                <w:i/>
                <w:sz w:val="24"/>
              </w:rPr>
            </w:pPr>
            <w:proofErr w:type="spellStart"/>
            <w:r>
              <w:rPr>
                <w:i/>
                <w:sz w:val="24"/>
              </w:rPr>
              <w:t>condonation</w:t>
            </w:r>
            <w:proofErr w:type="spellEnd"/>
            <w:r>
              <w:rPr>
                <w:i/>
                <w:sz w:val="24"/>
              </w:rPr>
              <w:t xml:space="preserve"> to National</w:t>
            </w:r>
          </w:p>
        </w:tc>
      </w:tr>
    </w:tbl>
    <w:p w:rsidR="00D5328E" w:rsidRDefault="00D5328E">
      <w:pPr>
        <w:rPr>
          <w:sz w:val="24"/>
        </w:rPr>
        <w:sectPr w:rsidR="00D5328E">
          <w:pgSz w:w="12240" w:h="15840"/>
          <w:pgMar w:top="1340" w:right="1240" w:bottom="280" w:left="13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7037"/>
        </w:trPr>
        <w:tc>
          <w:tcPr>
            <w:tcW w:w="3005" w:type="dxa"/>
          </w:tcPr>
          <w:p w:rsidR="00D5328E" w:rsidRDefault="00E7452A">
            <w:pPr>
              <w:pStyle w:val="TableParagraph"/>
              <w:spacing w:line="360" w:lineRule="auto"/>
              <w:ind w:left="107" w:right="199"/>
              <w:rPr>
                <w:sz w:val="24"/>
              </w:rPr>
            </w:pPr>
            <w:r>
              <w:rPr>
                <w:sz w:val="24"/>
              </w:rPr>
              <w:lastRenderedPageBreak/>
              <w:t>dealing with the fruitless and wasteful expenditure amounting to R125 187 961</w:t>
            </w:r>
          </w:p>
        </w:tc>
        <w:tc>
          <w:tcPr>
            <w:tcW w:w="3005" w:type="dxa"/>
          </w:tcPr>
          <w:p w:rsidR="00D5328E" w:rsidRDefault="00E7452A">
            <w:pPr>
              <w:pStyle w:val="TableParagraph"/>
              <w:spacing w:line="360" w:lineRule="auto"/>
              <w:ind w:right="149"/>
              <w:rPr>
                <w:sz w:val="24"/>
              </w:rPr>
            </w:pPr>
            <w:proofErr w:type="gramStart"/>
            <w:r>
              <w:rPr>
                <w:sz w:val="24"/>
              </w:rPr>
              <w:t>and</w:t>
            </w:r>
            <w:proofErr w:type="gramEnd"/>
            <w:r>
              <w:rPr>
                <w:sz w:val="24"/>
              </w:rPr>
              <w:t xml:space="preserve"> has since its inception led to a signi</w:t>
            </w:r>
            <w:r>
              <w:rPr>
                <w:sz w:val="24"/>
              </w:rPr>
              <w:t xml:space="preserve">ficant reduction in irregular expenditure. This matter was not initially addressed, as the SIU report had not been shared with management in its totality. The FMC will addition process this irregular expenditure for </w:t>
            </w:r>
            <w:proofErr w:type="spellStart"/>
            <w:r>
              <w:rPr>
                <w:sz w:val="24"/>
              </w:rPr>
              <w:t>condonation</w:t>
            </w:r>
            <w:proofErr w:type="spellEnd"/>
            <w:r>
              <w:rPr>
                <w:sz w:val="24"/>
              </w:rPr>
              <w:t xml:space="preserve"> with the Auditor-General, an</w:t>
            </w:r>
            <w:r>
              <w:rPr>
                <w:sz w:val="24"/>
              </w:rPr>
              <w:t xml:space="preserve">d </w:t>
            </w:r>
            <w:r>
              <w:rPr>
                <w:spacing w:val="-4"/>
                <w:sz w:val="24"/>
              </w:rPr>
              <w:t xml:space="preserve">also </w:t>
            </w:r>
            <w:r>
              <w:rPr>
                <w:sz w:val="24"/>
              </w:rPr>
              <w:t>review the SIU Report in its entire in order to identify and</w:t>
            </w:r>
            <w:r>
              <w:rPr>
                <w:spacing w:val="-6"/>
                <w:sz w:val="24"/>
              </w:rPr>
              <w:t xml:space="preserve"> </w:t>
            </w:r>
            <w:r>
              <w:rPr>
                <w:sz w:val="24"/>
              </w:rPr>
              <w:t>strengthen</w:t>
            </w:r>
          </w:p>
          <w:p w:rsidR="00D5328E" w:rsidRDefault="00E7452A">
            <w:pPr>
              <w:pStyle w:val="TableParagraph"/>
              <w:rPr>
                <w:sz w:val="24"/>
              </w:rPr>
            </w:pPr>
            <w:r>
              <w:rPr>
                <w:sz w:val="24"/>
              </w:rPr>
              <w:t>any control weaknesses</w:t>
            </w:r>
          </w:p>
        </w:tc>
        <w:tc>
          <w:tcPr>
            <w:tcW w:w="3008" w:type="dxa"/>
          </w:tcPr>
          <w:p w:rsidR="00D5328E" w:rsidRDefault="00E7452A">
            <w:pPr>
              <w:pStyle w:val="TableParagraph"/>
              <w:spacing w:line="360" w:lineRule="auto"/>
              <w:ind w:right="81"/>
              <w:rPr>
                <w:i/>
                <w:sz w:val="24"/>
              </w:rPr>
            </w:pPr>
            <w:r>
              <w:rPr>
                <w:i/>
                <w:sz w:val="24"/>
              </w:rPr>
              <w:t xml:space="preserve">Treasury. Further </w:t>
            </w:r>
            <w:r>
              <w:rPr>
                <w:i/>
                <w:sz w:val="24"/>
              </w:rPr>
              <w:t>information required by National Treasury was provided including the fact that action was taken against the employees involved. SAPO still awaiting final outcome from National Treasury.</w:t>
            </w:r>
          </w:p>
        </w:tc>
      </w:tr>
      <w:tr w:rsidR="00D5328E">
        <w:trPr>
          <w:trHeight w:val="5383"/>
        </w:trPr>
        <w:tc>
          <w:tcPr>
            <w:tcW w:w="3005" w:type="dxa"/>
          </w:tcPr>
          <w:p w:rsidR="00D5328E" w:rsidRDefault="00E7452A">
            <w:pPr>
              <w:pStyle w:val="TableParagraph"/>
              <w:spacing w:line="360" w:lineRule="auto"/>
              <w:ind w:left="107" w:right="199"/>
              <w:rPr>
                <w:sz w:val="24"/>
              </w:rPr>
            </w:pPr>
            <w:r>
              <w:rPr>
                <w:sz w:val="24"/>
              </w:rPr>
              <w:t>The SAPO should approach the Auditor- General for purposes of dealing</w:t>
            </w:r>
            <w:r>
              <w:rPr>
                <w:sz w:val="24"/>
              </w:rPr>
              <w:t xml:space="preserve"> with the fruitless and wasteful expenditure amounting to R15 700 309.84</w:t>
            </w:r>
          </w:p>
        </w:tc>
        <w:tc>
          <w:tcPr>
            <w:tcW w:w="3005" w:type="dxa"/>
          </w:tcPr>
          <w:p w:rsidR="00D5328E" w:rsidRDefault="00E7452A">
            <w:pPr>
              <w:pStyle w:val="TableParagraph"/>
              <w:spacing w:line="360" w:lineRule="auto"/>
              <w:ind w:right="332"/>
              <w:rPr>
                <w:sz w:val="24"/>
              </w:rPr>
            </w:pPr>
            <w:r>
              <w:rPr>
                <w:sz w:val="24"/>
              </w:rPr>
              <w:t xml:space="preserve">A submission was prepared and submitted to National Treasury for the </w:t>
            </w:r>
            <w:proofErr w:type="spellStart"/>
            <w:r>
              <w:rPr>
                <w:sz w:val="24"/>
              </w:rPr>
              <w:t>condonation</w:t>
            </w:r>
            <w:proofErr w:type="spellEnd"/>
            <w:r>
              <w:rPr>
                <w:sz w:val="24"/>
              </w:rPr>
              <w:t xml:space="preserve"> of this irregular expenditure.</w:t>
            </w:r>
          </w:p>
          <w:p w:rsidR="00D5328E" w:rsidRDefault="00E7452A">
            <w:pPr>
              <w:pStyle w:val="TableParagraph"/>
              <w:spacing w:line="360" w:lineRule="auto"/>
              <w:ind w:right="150"/>
              <w:rPr>
                <w:sz w:val="24"/>
              </w:rPr>
            </w:pPr>
            <w:r>
              <w:rPr>
                <w:sz w:val="24"/>
              </w:rPr>
              <w:t xml:space="preserve">National Treasury had acknowledged receipt of this application for </w:t>
            </w:r>
            <w:proofErr w:type="spellStart"/>
            <w:r>
              <w:rPr>
                <w:sz w:val="24"/>
              </w:rPr>
              <w:t>cond</w:t>
            </w:r>
            <w:r>
              <w:rPr>
                <w:sz w:val="24"/>
              </w:rPr>
              <w:t>onation</w:t>
            </w:r>
            <w:proofErr w:type="spellEnd"/>
            <w:r>
              <w:rPr>
                <w:sz w:val="24"/>
              </w:rPr>
              <w:t xml:space="preserve"> and requested for additional information is being provided through the</w:t>
            </w:r>
          </w:p>
          <w:p w:rsidR="00D5328E" w:rsidRDefault="00E7452A">
            <w:pPr>
              <w:pStyle w:val="TableParagraph"/>
              <w:spacing w:line="276" w:lineRule="exact"/>
              <w:rPr>
                <w:sz w:val="24"/>
              </w:rPr>
            </w:pPr>
            <w:r>
              <w:rPr>
                <w:sz w:val="24"/>
              </w:rPr>
              <w:t>FMC.</w:t>
            </w:r>
          </w:p>
        </w:tc>
        <w:tc>
          <w:tcPr>
            <w:tcW w:w="3008" w:type="dxa"/>
          </w:tcPr>
          <w:p w:rsidR="00D5328E" w:rsidRDefault="00E7452A">
            <w:pPr>
              <w:pStyle w:val="TableParagraph"/>
              <w:spacing w:line="360" w:lineRule="auto"/>
              <w:ind w:right="99"/>
              <w:rPr>
                <w:i/>
                <w:sz w:val="24"/>
              </w:rPr>
            </w:pPr>
            <w:r>
              <w:rPr>
                <w:i/>
                <w:sz w:val="24"/>
              </w:rPr>
              <w:t xml:space="preserve">SAPO has submitted </w:t>
            </w:r>
            <w:proofErr w:type="spellStart"/>
            <w:proofErr w:type="gramStart"/>
            <w:r>
              <w:rPr>
                <w:i/>
                <w:sz w:val="24"/>
              </w:rPr>
              <w:t>a</w:t>
            </w:r>
            <w:proofErr w:type="spellEnd"/>
            <w:r>
              <w:rPr>
                <w:i/>
                <w:sz w:val="24"/>
              </w:rPr>
              <w:t xml:space="preserve"> the</w:t>
            </w:r>
            <w:proofErr w:type="gramEnd"/>
            <w:r>
              <w:rPr>
                <w:i/>
                <w:sz w:val="24"/>
              </w:rPr>
              <w:t xml:space="preserve"> request for </w:t>
            </w:r>
            <w:proofErr w:type="spellStart"/>
            <w:r>
              <w:rPr>
                <w:i/>
                <w:sz w:val="24"/>
              </w:rPr>
              <w:t>condonation</w:t>
            </w:r>
            <w:proofErr w:type="spellEnd"/>
            <w:r>
              <w:rPr>
                <w:i/>
                <w:sz w:val="24"/>
              </w:rPr>
              <w:t xml:space="preserve"> to National Treasury. Further information required by National Treasury was provided including the </w:t>
            </w:r>
            <w:r>
              <w:rPr>
                <w:i/>
                <w:spacing w:val="-3"/>
                <w:sz w:val="24"/>
              </w:rPr>
              <w:t xml:space="preserve">fact </w:t>
            </w:r>
            <w:r>
              <w:rPr>
                <w:i/>
                <w:sz w:val="24"/>
              </w:rPr>
              <w:t>that action was tak</w:t>
            </w:r>
            <w:r>
              <w:rPr>
                <w:i/>
                <w:sz w:val="24"/>
              </w:rPr>
              <w:t>en against the employees involved. SAPO still awaiting final outcome from National</w:t>
            </w:r>
            <w:r>
              <w:rPr>
                <w:i/>
                <w:spacing w:val="-4"/>
                <w:sz w:val="24"/>
              </w:rPr>
              <w:t xml:space="preserve"> </w:t>
            </w:r>
            <w:r>
              <w:rPr>
                <w:i/>
                <w:sz w:val="24"/>
              </w:rPr>
              <w:t>Treasury.</w:t>
            </w:r>
          </w:p>
        </w:tc>
      </w:tr>
      <w:tr w:rsidR="00D5328E">
        <w:trPr>
          <w:trHeight w:val="827"/>
        </w:trPr>
        <w:tc>
          <w:tcPr>
            <w:tcW w:w="3005" w:type="dxa"/>
          </w:tcPr>
          <w:p w:rsidR="00D5328E" w:rsidRDefault="00E7452A">
            <w:pPr>
              <w:pStyle w:val="TableParagraph"/>
              <w:spacing w:line="274" w:lineRule="exact"/>
              <w:ind w:left="107"/>
              <w:rPr>
                <w:sz w:val="24"/>
              </w:rPr>
            </w:pPr>
            <w:r>
              <w:rPr>
                <w:sz w:val="24"/>
              </w:rPr>
              <w:t>The SAPO should engage</w:t>
            </w:r>
          </w:p>
          <w:p w:rsidR="00D5328E" w:rsidRDefault="00E7452A">
            <w:pPr>
              <w:pStyle w:val="TableParagraph"/>
              <w:spacing w:before="137"/>
              <w:ind w:left="107"/>
              <w:rPr>
                <w:sz w:val="24"/>
              </w:rPr>
            </w:pPr>
            <w:r>
              <w:rPr>
                <w:sz w:val="24"/>
              </w:rPr>
              <w:t>the services of</w:t>
            </w:r>
          </w:p>
        </w:tc>
        <w:tc>
          <w:tcPr>
            <w:tcW w:w="3005" w:type="dxa"/>
          </w:tcPr>
          <w:p w:rsidR="00D5328E" w:rsidRDefault="00E7452A">
            <w:pPr>
              <w:pStyle w:val="TableParagraph"/>
              <w:spacing w:line="274" w:lineRule="exact"/>
              <w:rPr>
                <w:sz w:val="24"/>
              </w:rPr>
            </w:pPr>
            <w:r>
              <w:rPr>
                <w:sz w:val="24"/>
              </w:rPr>
              <w:t>The SAPO engaged</w:t>
            </w:r>
          </w:p>
          <w:p w:rsidR="00D5328E" w:rsidRDefault="00E7452A">
            <w:pPr>
              <w:pStyle w:val="TableParagraph"/>
              <w:spacing w:before="137"/>
              <w:rPr>
                <w:sz w:val="24"/>
              </w:rPr>
            </w:pPr>
            <w:proofErr w:type="spellStart"/>
            <w:r>
              <w:rPr>
                <w:sz w:val="24"/>
              </w:rPr>
              <w:t>Werkmans</w:t>
            </w:r>
            <w:proofErr w:type="spellEnd"/>
            <w:r>
              <w:rPr>
                <w:sz w:val="24"/>
              </w:rPr>
              <w:t xml:space="preserve"> Attorneys in</w:t>
            </w:r>
          </w:p>
        </w:tc>
        <w:tc>
          <w:tcPr>
            <w:tcW w:w="3008" w:type="dxa"/>
          </w:tcPr>
          <w:p w:rsidR="00D5328E" w:rsidRDefault="00E7452A">
            <w:pPr>
              <w:pStyle w:val="TableParagraph"/>
              <w:spacing w:line="271" w:lineRule="exact"/>
              <w:rPr>
                <w:i/>
                <w:sz w:val="24"/>
              </w:rPr>
            </w:pPr>
            <w:r>
              <w:rPr>
                <w:i/>
                <w:sz w:val="24"/>
              </w:rPr>
              <w:t>Policies are being</w:t>
            </w:r>
          </w:p>
          <w:p w:rsidR="00D5328E" w:rsidRDefault="00E7452A">
            <w:pPr>
              <w:pStyle w:val="TableParagraph"/>
              <w:spacing w:before="137"/>
              <w:rPr>
                <w:i/>
                <w:sz w:val="24"/>
              </w:rPr>
            </w:pPr>
            <w:r>
              <w:rPr>
                <w:i/>
                <w:sz w:val="24"/>
              </w:rPr>
              <w:t>developed on the basis of</w:t>
            </w:r>
          </w:p>
        </w:tc>
      </w:tr>
    </w:tbl>
    <w:p w:rsidR="00D5328E" w:rsidRDefault="00D5328E">
      <w:pPr>
        <w:rPr>
          <w:sz w:val="24"/>
        </w:rPr>
        <w:sectPr w:rsidR="00D5328E">
          <w:pgSz w:w="12240" w:h="15840"/>
          <w:pgMar w:top="1420" w:right="1240" w:bottom="280" w:left="13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5381"/>
        </w:trPr>
        <w:tc>
          <w:tcPr>
            <w:tcW w:w="3005" w:type="dxa"/>
          </w:tcPr>
          <w:p w:rsidR="00D5328E" w:rsidRDefault="00E7452A">
            <w:pPr>
              <w:pStyle w:val="TableParagraph"/>
              <w:spacing w:line="360" w:lineRule="auto"/>
              <w:ind w:left="107" w:right="108"/>
              <w:rPr>
                <w:sz w:val="24"/>
              </w:rPr>
            </w:pPr>
            <w:proofErr w:type="gramStart"/>
            <w:r>
              <w:rPr>
                <w:sz w:val="24"/>
              </w:rPr>
              <w:lastRenderedPageBreak/>
              <w:t>appropriate</w:t>
            </w:r>
            <w:proofErr w:type="gramEnd"/>
            <w:r>
              <w:rPr>
                <w:sz w:val="24"/>
              </w:rPr>
              <w:t xml:space="preserve"> experts who would assist it in the developing policies and/or procedures relating to its relationships with its subsidiaries. These should include all aspects relating to the granting of loans by the SAPO to its subsidiaries</w:t>
            </w:r>
          </w:p>
        </w:tc>
        <w:tc>
          <w:tcPr>
            <w:tcW w:w="3005" w:type="dxa"/>
          </w:tcPr>
          <w:p w:rsidR="00D5328E" w:rsidRDefault="00E7452A">
            <w:pPr>
              <w:pStyle w:val="TableParagraph"/>
              <w:spacing w:line="360" w:lineRule="auto"/>
              <w:ind w:right="150"/>
              <w:rPr>
                <w:sz w:val="24"/>
              </w:rPr>
            </w:pPr>
            <w:proofErr w:type="gramStart"/>
            <w:r>
              <w:rPr>
                <w:sz w:val="24"/>
              </w:rPr>
              <w:t>determining</w:t>
            </w:r>
            <w:proofErr w:type="gramEnd"/>
            <w:r>
              <w:rPr>
                <w:sz w:val="24"/>
              </w:rPr>
              <w:t xml:space="preserve"> the pro</w:t>
            </w:r>
            <w:r>
              <w:rPr>
                <w:sz w:val="24"/>
              </w:rPr>
              <w:t>cesses and options that should be explored with respect to its relationship with CFG. That opinion is available. The process for the development of a broader set of policies and/or procedures to deal with intra-company transactions has</w:t>
            </w:r>
          </w:p>
          <w:p w:rsidR="00D5328E" w:rsidRDefault="00E7452A">
            <w:pPr>
              <w:pStyle w:val="TableParagraph"/>
              <w:rPr>
                <w:sz w:val="24"/>
              </w:rPr>
            </w:pPr>
            <w:proofErr w:type="gramStart"/>
            <w:r>
              <w:rPr>
                <w:sz w:val="24"/>
              </w:rPr>
              <w:t>commenced</w:t>
            </w:r>
            <w:proofErr w:type="gramEnd"/>
            <w:r>
              <w:rPr>
                <w:sz w:val="24"/>
              </w:rPr>
              <w:t>.</w:t>
            </w:r>
          </w:p>
        </w:tc>
        <w:tc>
          <w:tcPr>
            <w:tcW w:w="3008" w:type="dxa"/>
          </w:tcPr>
          <w:p w:rsidR="00D5328E" w:rsidRDefault="00E7452A">
            <w:pPr>
              <w:pStyle w:val="TableParagraph"/>
              <w:spacing w:line="360" w:lineRule="auto"/>
              <w:ind w:right="121"/>
              <w:rPr>
                <w:i/>
                <w:sz w:val="24"/>
              </w:rPr>
            </w:pPr>
            <w:proofErr w:type="gramStart"/>
            <w:r>
              <w:rPr>
                <w:i/>
                <w:sz w:val="24"/>
              </w:rPr>
              <w:t>advice</w:t>
            </w:r>
            <w:proofErr w:type="gramEnd"/>
            <w:r>
              <w:rPr>
                <w:i/>
                <w:sz w:val="24"/>
              </w:rPr>
              <w:t xml:space="preserve"> fr</w:t>
            </w:r>
            <w:r>
              <w:rPr>
                <w:i/>
                <w:sz w:val="24"/>
              </w:rPr>
              <w:t>om experts and these will be completed in this third quarter.</w:t>
            </w:r>
          </w:p>
        </w:tc>
      </w:tr>
      <w:tr w:rsidR="00D5328E">
        <w:trPr>
          <w:trHeight w:val="6211"/>
        </w:trPr>
        <w:tc>
          <w:tcPr>
            <w:tcW w:w="3005" w:type="dxa"/>
          </w:tcPr>
          <w:p w:rsidR="00D5328E" w:rsidRDefault="00E7452A">
            <w:pPr>
              <w:pStyle w:val="TableParagraph"/>
              <w:spacing w:line="360" w:lineRule="auto"/>
              <w:ind w:left="107" w:right="373"/>
              <w:rPr>
                <w:sz w:val="24"/>
              </w:rPr>
            </w:pPr>
            <w:r>
              <w:rPr>
                <w:sz w:val="24"/>
              </w:rPr>
              <w:t>The SAPO should take the necessary action to create and maintain a register to record the receipt of declaration of interest forms.</w:t>
            </w:r>
          </w:p>
        </w:tc>
        <w:tc>
          <w:tcPr>
            <w:tcW w:w="3005" w:type="dxa"/>
          </w:tcPr>
          <w:p w:rsidR="00D5328E" w:rsidRDefault="00E7452A">
            <w:pPr>
              <w:pStyle w:val="TableParagraph"/>
              <w:spacing w:line="360" w:lineRule="auto"/>
              <w:ind w:right="93"/>
              <w:jc w:val="both"/>
              <w:rPr>
                <w:sz w:val="24"/>
              </w:rPr>
            </w:pPr>
            <w:r>
              <w:rPr>
                <w:sz w:val="24"/>
              </w:rPr>
              <w:t xml:space="preserve">A file with all declarations of interest for Board members is kept, and </w:t>
            </w:r>
            <w:proofErr w:type="gramStart"/>
            <w:r>
              <w:rPr>
                <w:sz w:val="24"/>
              </w:rPr>
              <w:t>copies of declaration of interests for staff is</w:t>
            </w:r>
            <w:proofErr w:type="gramEnd"/>
            <w:r>
              <w:rPr>
                <w:sz w:val="24"/>
              </w:rPr>
              <w:t xml:space="preserve"> kept on employee’s personal files. </w:t>
            </w:r>
            <w:proofErr w:type="gramStart"/>
            <w:r>
              <w:rPr>
                <w:sz w:val="24"/>
              </w:rPr>
              <w:t>Line managers has</w:t>
            </w:r>
            <w:proofErr w:type="gramEnd"/>
            <w:r>
              <w:rPr>
                <w:sz w:val="24"/>
              </w:rPr>
              <w:t xml:space="preserve"> ensure completion of declaration forms and HR has commenced the development of a da</w:t>
            </w:r>
            <w:r>
              <w:rPr>
                <w:sz w:val="24"/>
              </w:rPr>
              <w:t>tabase for all declarations of interests across the organisation.</w:t>
            </w:r>
          </w:p>
        </w:tc>
        <w:tc>
          <w:tcPr>
            <w:tcW w:w="3008" w:type="dxa"/>
          </w:tcPr>
          <w:p w:rsidR="00D5328E" w:rsidRDefault="00E7452A">
            <w:pPr>
              <w:pStyle w:val="TableParagraph"/>
              <w:spacing w:line="360" w:lineRule="auto"/>
              <w:ind w:right="321"/>
              <w:rPr>
                <w:i/>
                <w:sz w:val="24"/>
              </w:rPr>
            </w:pPr>
            <w:r>
              <w:rPr>
                <w:i/>
                <w:sz w:val="24"/>
              </w:rPr>
              <w:t>This should be reflected as complete, the recommendation has been implemented</w:t>
            </w:r>
          </w:p>
        </w:tc>
      </w:tr>
      <w:tr w:rsidR="00D5328E">
        <w:trPr>
          <w:trHeight w:val="1655"/>
        </w:trPr>
        <w:tc>
          <w:tcPr>
            <w:tcW w:w="3005" w:type="dxa"/>
          </w:tcPr>
          <w:p w:rsidR="00D5328E" w:rsidRDefault="00E7452A">
            <w:pPr>
              <w:pStyle w:val="TableParagraph"/>
              <w:spacing w:line="360" w:lineRule="auto"/>
              <w:ind w:left="107" w:right="111"/>
              <w:rPr>
                <w:sz w:val="24"/>
              </w:rPr>
            </w:pPr>
            <w:r>
              <w:rPr>
                <w:sz w:val="24"/>
              </w:rPr>
              <w:t>The SAPO should take the necessary action to recover the placement</w:t>
            </w:r>
            <w:r>
              <w:rPr>
                <w:spacing w:val="-9"/>
                <w:sz w:val="24"/>
              </w:rPr>
              <w:t xml:space="preserve"> </w:t>
            </w:r>
            <w:r>
              <w:rPr>
                <w:sz w:val="24"/>
              </w:rPr>
              <w:t>fee</w:t>
            </w:r>
          </w:p>
          <w:p w:rsidR="00D5328E" w:rsidRDefault="00E7452A">
            <w:pPr>
              <w:pStyle w:val="TableParagraph"/>
              <w:spacing w:line="275" w:lineRule="exact"/>
              <w:ind w:left="107"/>
              <w:rPr>
                <w:sz w:val="24"/>
              </w:rPr>
            </w:pPr>
            <w:r>
              <w:rPr>
                <w:sz w:val="24"/>
              </w:rPr>
              <w:t>that was paid to Interim</w:t>
            </w:r>
          </w:p>
        </w:tc>
        <w:tc>
          <w:tcPr>
            <w:tcW w:w="3005" w:type="dxa"/>
          </w:tcPr>
          <w:p w:rsidR="00D5328E" w:rsidRDefault="00E7452A">
            <w:pPr>
              <w:pStyle w:val="TableParagraph"/>
              <w:spacing w:line="360" w:lineRule="auto"/>
              <w:ind w:right="96"/>
              <w:jc w:val="both"/>
              <w:rPr>
                <w:sz w:val="24"/>
              </w:rPr>
            </w:pPr>
            <w:r>
              <w:rPr>
                <w:sz w:val="24"/>
              </w:rPr>
              <w:t xml:space="preserve">Placement fee, Interim Consulting – SAPO </w:t>
            </w:r>
            <w:r>
              <w:rPr>
                <w:spacing w:val="-5"/>
                <w:sz w:val="24"/>
              </w:rPr>
              <w:t xml:space="preserve">Legal </w:t>
            </w:r>
            <w:r>
              <w:rPr>
                <w:sz w:val="24"/>
              </w:rPr>
              <w:t>department assessing</w:t>
            </w:r>
            <w:r>
              <w:rPr>
                <w:spacing w:val="31"/>
                <w:sz w:val="24"/>
              </w:rPr>
              <w:t xml:space="preserve"> </w:t>
            </w:r>
            <w:r>
              <w:rPr>
                <w:sz w:val="24"/>
              </w:rPr>
              <w:t>the</w:t>
            </w:r>
          </w:p>
          <w:p w:rsidR="00D5328E" w:rsidRDefault="00E7452A">
            <w:pPr>
              <w:pStyle w:val="TableParagraph"/>
              <w:spacing w:line="275" w:lineRule="exact"/>
              <w:jc w:val="both"/>
              <w:rPr>
                <w:sz w:val="24"/>
              </w:rPr>
            </w:pPr>
            <w:r>
              <w:rPr>
                <w:sz w:val="24"/>
              </w:rPr>
              <w:t xml:space="preserve">matter      in      terms   </w:t>
            </w:r>
            <w:r>
              <w:rPr>
                <w:spacing w:val="46"/>
                <w:sz w:val="24"/>
              </w:rPr>
              <w:t xml:space="preserve"> </w:t>
            </w:r>
            <w:r>
              <w:rPr>
                <w:sz w:val="24"/>
              </w:rPr>
              <w:t>of</w:t>
            </w:r>
          </w:p>
        </w:tc>
        <w:tc>
          <w:tcPr>
            <w:tcW w:w="3008" w:type="dxa"/>
          </w:tcPr>
          <w:p w:rsidR="00D5328E" w:rsidRDefault="00E7452A">
            <w:pPr>
              <w:pStyle w:val="TableParagraph"/>
              <w:spacing w:line="360" w:lineRule="auto"/>
              <w:ind w:right="348"/>
              <w:rPr>
                <w:i/>
                <w:sz w:val="24"/>
              </w:rPr>
            </w:pPr>
            <w:r>
              <w:rPr>
                <w:i/>
                <w:sz w:val="24"/>
              </w:rPr>
              <w:t>Due to the time that it took management to be aware of the</w:t>
            </w:r>
          </w:p>
          <w:p w:rsidR="00D5328E" w:rsidRDefault="00E7452A">
            <w:pPr>
              <w:pStyle w:val="TableParagraph"/>
              <w:spacing w:line="275" w:lineRule="exact"/>
              <w:rPr>
                <w:i/>
                <w:sz w:val="24"/>
              </w:rPr>
            </w:pPr>
            <w:r>
              <w:rPr>
                <w:i/>
                <w:sz w:val="24"/>
              </w:rPr>
              <w:t>recommendation the</w:t>
            </w:r>
          </w:p>
        </w:tc>
      </w:tr>
    </w:tbl>
    <w:p w:rsidR="00D5328E" w:rsidRDefault="00D5328E">
      <w:pPr>
        <w:spacing w:line="275" w:lineRule="exact"/>
        <w:rPr>
          <w:sz w:val="24"/>
        </w:rPr>
        <w:sectPr w:rsidR="00D5328E">
          <w:pgSz w:w="12240" w:h="15840"/>
          <w:pgMar w:top="1420" w:right="1240" w:bottom="280" w:left="13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2896"/>
        </w:trPr>
        <w:tc>
          <w:tcPr>
            <w:tcW w:w="3005" w:type="dxa"/>
          </w:tcPr>
          <w:p w:rsidR="00D5328E" w:rsidRDefault="00E7452A">
            <w:pPr>
              <w:pStyle w:val="TableParagraph"/>
              <w:spacing w:line="360" w:lineRule="auto"/>
              <w:ind w:left="107" w:right="359"/>
              <w:rPr>
                <w:sz w:val="24"/>
              </w:rPr>
            </w:pPr>
            <w:r>
              <w:rPr>
                <w:sz w:val="24"/>
              </w:rPr>
              <w:lastRenderedPageBreak/>
              <w:t>Consulting in respect of the appointment of Mr Jacobs.</w:t>
            </w:r>
          </w:p>
        </w:tc>
        <w:tc>
          <w:tcPr>
            <w:tcW w:w="3005" w:type="dxa"/>
          </w:tcPr>
          <w:p w:rsidR="00D5328E" w:rsidRDefault="00E7452A">
            <w:pPr>
              <w:pStyle w:val="TableParagraph"/>
              <w:tabs>
                <w:tab w:val="left" w:pos="2494"/>
              </w:tabs>
              <w:spacing w:line="360" w:lineRule="auto"/>
              <w:ind w:right="96"/>
              <w:rPr>
                <w:sz w:val="24"/>
              </w:rPr>
            </w:pPr>
            <w:proofErr w:type="gramStart"/>
            <w:r>
              <w:rPr>
                <w:sz w:val="24"/>
              </w:rPr>
              <w:t>conscription</w:t>
            </w:r>
            <w:proofErr w:type="gramEnd"/>
            <w:r>
              <w:rPr>
                <w:sz w:val="24"/>
              </w:rPr>
              <w:tab/>
            </w:r>
            <w:r>
              <w:rPr>
                <w:spacing w:val="-6"/>
                <w:sz w:val="24"/>
              </w:rPr>
              <w:t xml:space="preserve">and </w:t>
            </w:r>
            <w:r>
              <w:rPr>
                <w:sz w:val="24"/>
              </w:rPr>
              <w:t>prospects of</w:t>
            </w:r>
            <w:r>
              <w:rPr>
                <w:spacing w:val="-1"/>
                <w:sz w:val="24"/>
              </w:rPr>
              <w:t xml:space="preserve"> </w:t>
            </w:r>
            <w:r>
              <w:rPr>
                <w:sz w:val="24"/>
              </w:rPr>
              <w:t>success</w:t>
            </w:r>
            <w:r>
              <w:rPr>
                <w:color w:val="FF0000"/>
                <w:sz w:val="24"/>
              </w:rPr>
              <w:t>.</w:t>
            </w:r>
          </w:p>
        </w:tc>
        <w:tc>
          <w:tcPr>
            <w:tcW w:w="3008" w:type="dxa"/>
          </w:tcPr>
          <w:p w:rsidR="00D5328E" w:rsidRDefault="00E7452A">
            <w:pPr>
              <w:pStyle w:val="TableParagraph"/>
              <w:spacing w:line="360" w:lineRule="auto"/>
              <w:ind w:right="174"/>
              <w:rPr>
                <w:i/>
                <w:sz w:val="24"/>
              </w:rPr>
            </w:pPr>
            <w:proofErr w:type="gramStart"/>
            <w:r>
              <w:rPr>
                <w:i/>
                <w:sz w:val="24"/>
              </w:rPr>
              <w:t>matter</w:t>
            </w:r>
            <w:proofErr w:type="gramEnd"/>
            <w:r>
              <w:rPr>
                <w:i/>
                <w:sz w:val="24"/>
              </w:rPr>
              <w:t xml:space="preserve"> had prescribed. Furthermore actual service was rendered by the employee concerned. There are no reasonable prospects of recovering</w:t>
            </w:r>
          </w:p>
          <w:p w:rsidR="00D5328E" w:rsidRDefault="00E7452A">
            <w:pPr>
              <w:pStyle w:val="TableParagraph"/>
              <w:rPr>
                <w:i/>
                <w:sz w:val="24"/>
              </w:rPr>
            </w:pPr>
            <w:proofErr w:type="gramStart"/>
            <w:r>
              <w:rPr>
                <w:i/>
                <w:sz w:val="24"/>
              </w:rPr>
              <w:t>these</w:t>
            </w:r>
            <w:proofErr w:type="gramEnd"/>
            <w:r>
              <w:rPr>
                <w:i/>
                <w:sz w:val="24"/>
              </w:rPr>
              <w:t xml:space="preserve"> fees.</w:t>
            </w:r>
          </w:p>
        </w:tc>
      </w:tr>
      <w:tr w:rsidR="00D5328E">
        <w:trPr>
          <w:trHeight w:val="10352"/>
        </w:trPr>
        <w:tc>
          <w:tcPr>
            <w:tcW w:w="3005" w:type="dxa"/>
          </w:tcPr>
          <w:p w:rsidR="00D5328E" w:rsidRDefault="00E7452A">
            <w:pPr>
              <w:pStyle w:val="TableParagraph"/>
              <w:spacing w:line="360" w:lineRule="auto"/>
              <w:ind w:left="107" w:right="332"/>
              <w:rPr>
                <w:sz w:val="24"/>
              </w:rPr>
            </w:pPr>
            <w:r>
              <w:rPr>
                <w:sz w:val="24"/>
              </w:rPr>
              <w:t>The SAPO should consider entering into a Memorandum of Understanding or Intergovernmental Protocol with the Department of Home Affairs in order that the SAPO can verify and authenticate the identity numbers of all SAPO employees.</w:t>
            </w:r>
          </w:p>
        </w:tc>
        <w:tc>
          <w:tcPr>
            <w:tcW w:w="3005" w:type="dxa"/>
          </w:tcPr>
          <w:p w:rsidR="00D5328E" w:rsidRDefault="00E7452A">
            <w:pPr>
              <w:pStyle w:val="TableParagraph"/>
              <w:spacing w:line="360" w:lineRule="auto"/>
              <w:ind w:right="93"/>
              <w:jc w:val="both"/>
              <w:rPr>
                <w:sz w:val="24"/>
              </w:rPr>
            </w:pPr>
            <w:r>
              <w:rPr>
                <w:sz w:val="24"/>
              </w:rPr>
              <w:t>The recruitment policy was</w:t>
            </w:r>
            <w:r>
              <w:rPr>
                <w:sz w:val="24"/>
              </w:rPr>
              <w:t xml:space="preserve"> reviewed to ensure that all experience and education requirements are reviewed by HCM and the line manager prior to the advertisement being issued. Verifications are part of the interview process. </w:t>
            </w:r>
            <w:r>
              <w:rPr>
                <w:spacing w:val="-3"/>
                <w:sz w:val="24"/>
              </w:rPr>
              <w:t xml:space="preserve">Candidates </w:t>
            </w:r>
            <w:r>
              <w:rPr>
                <w:sz w:val="24"/>
              </w:rPr>
              <w:t>completed affidavits in the interim to mitigate</w:t>
            </w:r>
            <w:r>
              <w:rPr>
                <w:sz w:val="24"/>
              </w:rPr>
              <w:t xml:space="preserve"> the risk, where verifications could not be done due to financial constraints. In 2018 as part of the SASSA process all management employees were vetted by State Security Agency. This is an on-going</w:t>
            </w:r>
            <w:r>
              <w:rPr>
                <w:spacing w:val="-2"/>
                <w:sz w:val="24"/>
              </w:rPr>
              <w:t xml:space="preserve"> </w:t>
            </w:r>
            <w:r>
              <w:rPr>
                <w:sz w:val="24"/>
              </w:rPr>
              <w:t>process.</w:t>
            </w:r>
          </w:p>
          <w:p w:rsidR="00D5328E" w:rsidRDefault="00E7452A">
            <w:pPr>
              <w:pStyle w:val="TableParagraph"/>
              <w:spacing w:before="1" w:line="360" w:lineRule="auto"/>
              <w:ind w:right="94"/>
              <w:jc w:val="both"/>
              <w:rPr>
                <w:sz w:val="24"/>
              </w:rPr>
            </w:pPr>
            <w:r>
              <w:rPr>
                <w:sz w:val="24"/>
              </w:rPr>
              <w:t xml:space="preserve">SAPO will be </w:t>
            </w:r>
            <w:r>
              <w:rPr>
                <w:spacing w:val="-3"/>
                <w:sz w:val="24"/>
              </w:rPr>
              <w:t xml:space="preserve">meeting  </w:t>
            </w:r>
            <w:r>
              <w:rPr>
                <w:sz w:val="24"/>
              </w:rPr>
              <w:t>with department of Home Affairs   to   engage   on</w:t>
            </w:r>
            <w:r>
              <w:rPr>
                <w:spacing w:val="33"/>
                <w:sz w:val="24"/>
              </w:rPr>
              <w:t xml:space="preserve"> </w:t>
            </w:r>
            <w:r>
              <w:rPr>
                <w:sz w:val="24"/>
              </w:rPr>
              <w:t>a</w:t>
            </w:r>
          </w:p>
          <w:p w:rsidR="00D5328E" w:rsidRDefault="00E7452A">
            <w:pPr>
              <w:pStyle w:val="TableParagraph"/>
              <w:tabs>
                <w:tab w:val="left" w:pos="2696"/>
              </w:tabs>
              <w:spacing w:line="275" w:lineRule="exact"/>
              <w:jc w:val="both"/>
              <w:rPr>
                <w:sz w:val="24"/>
              </w:rPr>
            </w:pPr>
            <w:r>
              <w:rPr>
                <w:sz w:val="24"/>
              </w:rPr>
              <w:t>memorandum</w:t>
            </w:r>
            <w:r>
              <w:rPr>
                <w:sz w:val="24"/>
              </w:rPr>
              <w:tab/>
              <w:t>of</w:t>
            </w:r>
          </w:p>
        </w:tc>
        <w:tc>
          <w:tcPr>
            <w:tcW w:w="3008" w:type="dxa"/>
          </w:tcPr>
          <w:p w:rsidR="00D5328E" w:rsidRDefault="00E7452A">
            <w:pPr>
              <w:pStyle w:val="TableParagraph"/>
              <w:spacing w:line="360" w:lineRule="auto"/>
              <w:ind w:right="101"/>
              <w:rPr>
                <w:i/>
                <w:sz w:val="24"/>
              </w:rPr>
            </w:pPr>
            <w:r>
              <w:rPr>
                <w:i/>
                <w:sz w:val="24"/>
              </w:rPr>
              <w:t>This item should reflect</w:t>
            </w:r>
            <w:r>
              <w:rPr>
                <w:i/>
                <w:spacing w:val="-10"/>
                <w:sz w:val="24"/>
              </w:rPr>
              <w:t xml:space="preserve"> </w:t>
            </w:r>
            <w:r>
              <w:rPr>
                <w:i/>
                <w:sz w:val="24"/>
              </w:rPr>
              <w:t>as complete. Not only has SAPO considered the entering into an agreement with DHA, they actually have a working relationship with respect to the issue at hand. A MO</w:t>
            </w:r>
            <w:r>
              <w:rPr>
                <w:i/>
                <w:sz w:val="24"/>
              </w:rPr>
              <w:t>U with Home Affairs is in the process of been completed and will be a holistic agreement taking into account all potential aspects for collaboration. That MOU should be concluded and signed by the parties in this third quarter 2019/20 financial</w:t>
            </w:r>
            <w:r>
              <w:rPr>
                <w:i/>
                <w:spacing w:val="-1"/>
                <w:sz w:val="24"/>
              </w:rPr>
              <w:t xml:space="preserve"> </w:t>
            </w:r>
            <w:r>
              <w:rPr>
                <w:i/>
                <w:sz w:val="24"/>
              </w:rPr>
              <w:t>year.</w:t>
            </w:r>
          </w:p>
        </w:tc>
      </w:tr>
    </w:tbl>
    <w:p w:rsidR="00D5328E" w:rsidRDefault="00D5328E">
      <w:pPr>
        <w:spacing w:line="360" w:lineRule="auto"/>
        <w:rPr>
          <w:sz w:val="24"/>
        </w:rPr>
        <w:sectPr w:rsidR="00D5328E">
          <w:pgSz w:w="12240" w:h="15840"/>
          <w:pgMar w:top="1420" w:right="1240" w:bottom="280" w:left="13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4968"/>
        </w:trPr>
        <w:tc>
          <w:tcPr>
            <w:tcW w:w="3005" w:type="dxa"/>
          </w:tcPr>
          <w:p w:rsidR="00D5328E" w:rsidRDefault="00D5328E">
            <w:pPr>
              <w:pStyle w:val="TableParagraph"/>
              <w:ind w:left="0"/>
              <w:rPr>
                <w:rFonts w:ascii="Times New Roman"/>
                <w:sz w:val="24"/>
              </w:rPr>
            </w:pPr>
          </w:p>
        </w:tc>
        <w:tc>
          <w:tcPr>
            <w:tcW w:w="3005" w:type="dxa"/>
          </w:tcPr>
          <w:p w:rsidR="00D5328E" w:rsidRDefault="00E7452A">
            <w:pPr>
              <w:pStyle w:val="TableParagraph"/>
              <w:spacing w:line="360" w:lineRule="auto"/>
              <w:ind w:right="94"/>
              <w:jc w:val="both"/>
              <w:rPr>
                <w:sz w:val="24"/>
              </w:rPr>
            </w:pPr>
            <w:proofErr w:type="gramStart"/>
            <w:r>
              <w:rPr>
                <w:sz w:val="24"/>
              </w:rPr>
              <w:t>understanding</w:t>
            </w:r>
            <w:proofErr w:type="gramEnd"/>
            <w:r>
              <w:rPr>
                <w:sz w:val="24"/>
              </w:rPr>
              <w:t xml:space="preserve"> in this regard to verify all ID numbers in the system. SAPO and Home Affairs already have an arrangement to verify ID Number and life status of all pensioners. Currently all ID number are verified during the recruitment process.</w:t>
            </w:r>
          </w:p>
        </w:tc>
        <w:tc>
          <w:tcPr>
            <w:tcW w:w="3008" w:type="dxa"/>
          </w:tcPr>
          <w:p w:rsidR="00D5328E" w:rsidRDefault="00D5328E">
            <w:pPr>
              <w:pStyle w:val="TableParagraph"/>
              <w:ind w:left="0"/>
              <w:rPr>
                <w:rFonts w:ascii="Times New Roman"/>
                <w:sz w:val="24"/>
              </w:rPr>
            </w:pPr>
          </w:p>
        </w:tc>
      </w:tr>
      <w:tr w:rsidR="00D5328E">
        <w:trPr>
          <w:trHeight w:val="5380"/>
        </w:trPr>
        <w:tc>
          <w:tcPr>
            <w:tcW w:w="3005" w:type="dxa"/>
          </w:tcPr>
          <w:p w:rsidR="00D5328E" w:rsidRDefault="00E7452A">
            <w:pPr>
              <w:pStyle w:val="TableParagraph"/>
              <w:spacing w:line="360" w:lineRule="auto"/>
              <w:ind w:left="107" w:right="95"/>
              <w:rPr>
                <w:sz w:val="24"/>
              </w:rPr>
            </w:pPr>
            <w:r>
              <w:rPr>
                <w:sz w:val="24"/>
              </w:rPr>
              <w:t>The SAPO should ensure that properly qualified, skilled and or/experienced staff are appointed in order to ensure that all data regarding the current SAPO immovable property inventory is kept up to</w:t>
            </w:r>
            <w:r>
              <w:rPr>
                <w:spacing w:val="-1"/>
                <w:sz w:val="24"/>
              </w:rPr>
              <w:t xml:space="preserve"> </w:t>
            </w:r>
            <w:r>
              <w:rPr>
                <w:sz w:val="24"/>
              </w:rPr>
              <w:t>date.</w:t>
            </w:r>
          </w:p>
        </w:tc>
        <w:tc>
          <w:tcPr>
            <w:tcW w:w="3005" w:type="dxa"/>
          </w:tcPr>
          <w:p w:rsidR="00D5328E" w:rsidRDefault="00E7452A">
            <w:pPr>
              <w:pStyle w:val="TableParagraph"/>
              <w:spacing w:line="360" w:lineRule="auto"/>
              <w:ind w:right="139"/>
              <w:rPr>
                <w:sz w:val="24"/>
              </w:rPr>
            </w:pPr>
            <w:r>
              <w:rPr>
                <w:sz w:val="24"/>
              </w:rPr>
              <w:t>The skills required for this function are currently not at the required level as these employees are recruited from within SAPO. The skills development of employees within SAPO is underway and a process has started with the Services SETA to address these c</w:t>
            </w:r>
            <w:r>
              <w:rPr>
                <w:sz w:val="24"/>
              </w:rPr>
              <w:t>ritical</w:t>
            </w:r>
          </w:p>
          <w:p w:rsidR="00D5328E" w:rsidRDefault="00E7452A">
            <w:pPr>
              <w:pStyle w:val="TableParagraph"/>
              <w:rPr>
                <w:sz w:val="24"/>
              </w:rPr>
            </w:pPr>
            <w:proofErr w:type="gramStart"/>
            <w:r>
              <w:rPr>
                <w:sz w:val="24"/>
              </w:rPr>
              <w:t>skills</w:t>
            </w:r>
            <w:proofErr w:type="gramEnd"/>
            <w:r>
              <w:rPr>
                <w:sz w:val="24"/>
              </w:rPr>
              <w:t xml:space="preserve"> development needs.</w:t>
            </w:r>
          </w:p>
        </w:tc>
        <w:tc>
          <w:tcPr>
            <w:tcW w:w="3008" w:type="dxa"/>
          </w:tcPr>
          <w:p w:rsidR="00D5328E" w:rsidRDefault="00E7452A">
            <w:pPr>
              <w:pStyle w:val="TableParagraph"/>
              <w:spacing w:line="360" w:lineRule="auto"/>
              <w:ind w:right="98"/>
              <w:rPr>
                <w:i/>
                <w:sz w:val="24"/>
              </w:rPr>
            </w:pPr>
            <w:r>
              <w:rPr>
                <w:i/>
                <w:sz w:val="24"/>
              </w:rPr>
              <w:t xml:space="preserve">SAPO has appointed </w:t>
            </w:r>
            <w:proofErr w:type="spellStart"/>
            <w:r>
              <w:rPr>
                <w:i/>
                <w:sz w:val="24"/>
              </w:rPr>
              <w:t>Broll</w:t>
            </w:r>
            <w:proofErr w:type="spellEnd"/>
            <w:r>
              <w:rPr>
                <w:i/>
                <w:sz w:val="24"/>
              </w:rPr>
              <w:t xml:space="preserve"> Properties to assist in this regard including the transfer of skills. Currently all property inventory is up to</w:t>
            </w:r>
            <w:r>
              <w:rPr>
                <w:i/>
                <w:spacing w:val="-1"/>
                <w:sz w:val="24"/>
              </w:rPr>
              <w:t xml:space="preserve"> </w:t>
            </w:r>
            <w:r>
              <w:rPr>
                <w:i/>
                <w:sz w:val="24"/>
              </w:rPr>
              <w:t>date.</w:t>
            </w:r>
          </w:p>
        </w:tc>
      </w:tr>
      <w:tr w:rsidR="00D5328E">
        <w:trPr>
          <w:trHeight w:val="2899"/>
        </w:trPr>
        <w:tc>
          <w:tcPr>
            <w:tcW w:w="3005" w:type="dxa"/>
          </w:tcPr>
          <w:p w:rsidR="00D5328E" w:rsidRDefault="00E7452A">
            <w:pPr>
              <w:pStyle w:val="TableParagraph"/>
              <w:spacing w:line="360" w:lineRule="auto"/>
              <w:ind w:left="107" w:right="199"/>
              <w:rPr>
                <w:sz w:val="24"/>
              </w:rPr>
            </w:pPr>
            <w:r>
              <w:rPr>
                <w:sz w:val="24"/>
              </w:rPr>
              <w:t>The SAPO in respect of the SAPO properties that are at present being leased or</w:t>
            </w:r>
            <w:r>
              <w:rPr>
                <w:sz w:val="24"/>
              </w:rPr>
              <w:t xml:space="preserve"> occupied by Telkom, take steps to:</w:t>
            </w:r>
          </w:p>
        </w:tc>
        <w:tc>
          <w:tcPr>
            <w:tcW w:w="3005" w:type="dxa"/>
          </w:tcPr>
          <w:p w:rsidR="00D5328E" w:rsidRDefault="00E7452A">
            <w:pPr>
              <w:pStyle w:val="TableParagraph"/>
              <w:spacing w:line="360" w:lineRule="auto"/>
              <w:ind w:right="96"/>
              <w:jc w:val="both"/>
              <w:rPr>
                <w:sz w:val="24"/>
              </w:rPr>
            </w:pPr>
            <w:r>
              <w:rPr>
                <w:sz w:val="24"/>
              </w:rPr>
              <w:t xml:space="preserve">After rental and </w:t>
            </w:r>
            <w:r>
              <w:rPr>
                <w:spacing w:val="-3"/>
                <w:sz w:val="24"/>
              </w:rPr>
              <w:t xml:space="preserve">utilities </w:t>
            </w:r>
            <w:r>
              <w:rPr>
                <w:sz w:val="24"/>
              </w:rPr>
              <w:t xml:space="preserve">reconciliations </w:t>
            </w:r>
            <w:r>
              <w:rPr>
                <w:spacing w:val="-3"/>
                <w:sz w:val="24"/>
              </w:rPr>
              <w:t xml:space="preserve">Telkom </w:t>
            </w:r>
            <w:r>
              <w:rPr>
                <w:sz w:val="24"/>
              </w:rPr>
              <w:t>has agreed to pay SAPO R60m.</w:t>
            </w:r>
          </w:p>
          <w:p w:rsidR="00D5328E" w:rsidRDefault="00D5328E">
            <w:pPr>
              <w:pStyle w:val="TableParagraph"/>
              <w:spacing w:before="3"/>
              <w:ind w:left="0"/>
              <w:rPr>
                <w:sz w:val="24"/>
              </w:rPr>
            </w:pPr>
          </w:p>
          <w:p w:rsidR="00D5328E" w:rsidRDefault="00E7452A">
            <w:pPr>
              <w:pStyle w:val="TableParagraph"/>
              <w:spacing w:line="410" w:lineRule="atLeast"/>
              <w:ind w:right="97"/>
              <w:jc w:val="both"/>
              <w:rPr>
                <w:sz w:val="24"/>
              </w:rPr>
            </w:pPr>
            <w:r>
              <w:rPr>
                <w:sz w:val="24"/>
              </w:rPr>
              <w:t xml:space="preserve">Further reconciliation </w:t>
            </w:r>
            <w:r>
              <w:rPr>
                <w:spacing w:val="-7"/>
                <w:sz w:val="24"/>
              </w:rPr>
              <w:t xml:space="preserve">is </w:t>
            </w:r>
            <w:r>
              <w:rPr>
                <w:sz w:val="24"/>
              </w:rPr>
              <w:t>being done to</w:t>
            </w:r>
            <w:r>
              <w:rPr>
                <w:spacing w:val="55"/>
                <w:sz w:val="24"/>
              </w:rPr>
              <w:t xml:space="preserve"> </w:t>
            </w:r>
            <w:r>
              <w:rPr>
                <w:sz w:val="24"/>
              </w:rPr>
              <w:t>recover</w:t>
            </w:r>
          </w:p>
        </w:tc>
        <w:tc>
          <w:tcPr>
            <w:tcW w:w="3008" w:type="dxa"/>
          </w:tcPr>
          <w:p w:rsidR="00D5328E" w:rsidRDefault="00E7452A">
            <w:pPr>
              <w:pStyle w:val="TableParagraph"/>
              <w:spacing w:line="360" w:lineRule="auto"/>
              <w:ind w:right="95"/>
              <w:rPr>
                <w:i/>
                <w:sz w:val="24"/>
              </w:rPr>
            </w:pPr>
            <w:r>
              <w:rPr>
                <w:i/>
                <w:sz w:val="24"/>
              </w:rPr>
              <w:t xml:space="preserve">Various engagements </w:t>
            </w:r>
            <w:r>
              <w:rPr>
                <w:i/>
                <w:sz w:val="24"/>
              </w:rPr>
              <w:t>have been entered into with Telkom. The reconciliations have been concluded and each party is aware of the obligations</w:t>
            </w:r>
          </w:p>
          <w:p w:rsidR="00D5328E" w:rsidRDefault="00E7452A">
            <w:pPr>
              <w:pStyle w:val="TableParagraph"/>
              <w:rPr>
                <w:i/>
                <w:sz w:val="24"/>
              </w:rPr>
            </w:pPr>
            <w:r>
              <w:rPr>
                <w:i/>
                <w:sz w:val="24"/>
              </w:rPr>
              <w:t>they have in regard to the</w:t>
            </w:r>
          </w:p>
        </w:tc>
      </w:tr>
    </w:tbl>
    <w:p w:rsidR="00D5328E" w:rsidRDefault="00D5328E">
      <w:pPr>
        <w:rPr>
          <w:sz w:val="24"/>
        </w:rPr>
        <w:sectPr w:rsidR="00D5328E">
          <w:pgSz w:w="12240" w:h="15840"/>
          <w:pgMar w:top="1420" w:right="1240" w:bottom="280" w:left="136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05"/>
        <w:gridCol w:w="3008"/>
      </w:tblGrid>
      <w:tr w:rsidR="00D5328E">
        <w:trPr>
          <w:trHeight w:val="5813"/>
        </w:trPr>
        <w:tc>
          <w:tcPr>
            <w:tcW w:w="3005" w:type="dxa"/>
          </w:tcPr>
          <w:p w:rsidR="00D5328E" w:rsidRDefault="00E7452A">
            <w:pPr>
              <w:pStyle w:val="TableParagraph"/>
              <w:numPr>
                <w:ilvl w:val="0"/>
                <w:numId w:val="1"/>
              </w:numPr>
              <w:tabs>
                <w:tab w:val="left" w:pos="827"/>
                <w:tab w:val="left" w:pos="828"/>
              </w:tabs>
              <w:spacing w:line="360" w:lineRule="auto"/>
              <w:ind w:right="149"/>
              <w:rPr>
                <w:sz w:val="24"/>
              </w:rPr>
            </w:pPr>
            <w:proofErr w:type="spellStart"/>
            <w:r>
              <w:rPr>
                <w:sz w:val="24"/>
              </w:rPr>
              <w:lastRenderedPageBreak/>
              <w:t>Finalise</w:t>
            </w:r>
            <w:proofErr w:type="spellEnd"/>
            <w:r>
              <w:rPr>
                <w:sz w:val="24"/>
              </w:rPr>
              <w:t xml:space="preserve"> the reconciliation/audit of all outstanding amounts </w:t>
            </w:r>
            <w:r>
              <w:rPr>
                <w:spacing w:val="-2"/>
                <w:sz w:val="24"/>
              </w:rPr>
              <w:t xml:space="preserve">(including </w:t>
            </w:r>
            <w:r>
              <w:rPr>
                <w:sz w:val="24"/>
              </w:rPr>
              <w:t>arrear property rates and t</w:t>
            </w:r>
            <w:r>
              <w:rPr>
                <w:sz w:val="24"/>
              </w:rPr>
              <w:t>axes) due to the SAPO by Telkom and take the necessary action to collect any outstanding amounts in this regard</w:t>
            </w:r>
            <w:r>
              <w:rPr>
                <w:spacing w:val="-1"/>
                <w:sz w:val="24"/>
              </w:rPr>
              <w:t xml:space="preserve"> </w:t>
            </w:r>
            <w:r>
              <w:rPr>
                <w:sz w:val="24"/>
              </w:rPr>
              <w:t>(if</w:t>
            </w:r>
          </w:p>
          <w:p w:rsidR="00D5328E" w:rsidRDefault="00E7452A">
            <w:pPr>
              <w:pStyle w:val="TableParagraph"/>
              <w:spacing w:line="265" w:lineRule="exact"/>
              <w:ind w:left="827"/>
              <w:rPr>
                <w:sz w:val="24"/>
              </w:rPr>
            </w:pPr>
            <w:proofErr w:type="gramStart"/>
            <w:r>
              <w:rPr>
                <w:sz w:val="24"/>
              </w:rPr>
              <w:t>applicable</w:t>
            </w:r>
            <w:proofErr w:type="gramEnd"/>
            <w:r>
              <w:rPr>
                <w:sz w:val="24"/>
              </w:rPr>
              <w:t>).</w:t>
            </w:r>
          </w:p>
        </w:tc>
        <w:tc>
          <w:tcPr>
            <w:tcW w:w="3005" w:type="dxa"/>
          </w:tcPr>
          <w:p w:rsidR="00D5328E" w:rsidRDefault="00E7452A">
            <w:pPr>
              <w:pStyle w:val="TableParagraph"/>
              <w:spacing w:line="360" w:lineRule="auto"/>
              <w:ind w:right="96"/>
              <w:jc w:val="both"/>
              <w:rPr>
                <w:sz w:val="24"/>
              </w:rPr>
            </w:pPr>
            <w:r>
              <w:rPr>
                <w:sz w:val="24"/>
              </w:rPr>
              <w:t>outstanding utilities since April 2017 from Telkom which is estimated at R11m.</w:t>
            </w:r>
          </w:p>
        </w:tc>
        <w:tc>
          <w:tcPr>
            <w:tcW w:w="3008" w:type="dxa"/>
          </w:tcPr>
          <w:p w:rsidR="00D5328E" w:rsidRDefault="00E7452A">
            <w:pPr>
              <w:pStyle w:val="TableParagraph"/>
              <w:spacing w:line="360" w:lineRule="auto"/>
              <w:ind w:right="188"/>
              <w:rPr>
                <w:i/>
                <w:sz w:val="24"/>
              </w:rPr>
            </w:pPr>
            <w:proofErr w:type="gramStart"/>
            <w:r>
              <w:rPr>
                <w:i/>
                <w:sz w:val="24"/>
              </w:rPr>
              <w:t>properties</w:t>
            </w:r>
            <w:proofErr w:type="gramEnd"/>
            <w:r>
              <w:rPr>
                <w:i/>
                <w:sz w:val="24"/>
              </w:rPr>
              <w:t xml:space="preserve">. Therefore this </w:t>
            </w:r>
            <w:r>
              <w:rPr>
                <w:i/>
                <w:sz w:val="24"/>
              </w:rPr>
              <w:t>item should be recorded as complete.</w:t>
            </w:r>
          </w:p>
        </w:tc>
      </w:tr>
      <w:tr w:rsidR="00D5328E">
        <w:trPr>
          <w:trHeight w:val="5796"/>
        </w:trPr>
        <w:tc>
          <w:tcPr>
            <w:tcW w:w="3005" w:type="dxa"/>
          </w:tcPr>
          <w:p w:rsidR="00D5328E" w:rsidRDefault="00E7452A">
            <w:pPr>
              <w:pStyle w:val="TableParagraph"/>
              <w:spacing w:line="360" w:lineRule="auto"/>
              <w:ind w:left="107" w:right="279"/>
              <w:rPr>
                <w:sz w:val="24"/>
              </w:rPr>
            </w:pPr>
            <w:r>
              <w:rPr>
                <w:sz w:val="24"/>
              </w:rPr>
              <w:t>In the future ensure that the records pertaining to all rental properties are regularly updated and consolidated.</w:t>
            </w:r>
          </w:p>
        </w:tc>
        <w:tc>
          <w:tcPr>
            <w:tcW w:w="3005" w:type="dxa"/>
          </w:tcPr>
          <w:p w:rsidR="00D5328E" w:rsidRDefault="00E7452A">
            <w:pPr>
              <w:pStyle w:val="TableParagraph"/>
              <w:spacing w:line="360" w:lineRule="auto"/>
              <w:ind w:right="92"/>
              <w:rPr>
                <w:sz w:val="24"/>
              </w:rPr>
            </w:pPr>
            <w:r>
              <w:rPr>
                <w:sz w:val="24"/>
              </w:rPr>
              <w:t>Signed lease schedules are now being submitted by Telkom and loaded onto the SAPO system for the collect</w:t>
            </w:r>
            <w:r>
              <w:rPr>
                <w:sz w:val="24"/>
              </w:rPr>
              <w:t>ion of outstanding and future rentals. Currently SAPO has 29 signed lease Schedules out of the 118 have been received from Telkom and a follow- up meeting is being scheduled to discuss the</w:t>
            </w:r>
          </w:p>
          <w:p w:rsidR="00D5328E" w:rsidRDefault="00E7452A">
            <w:pPr>
              <w:pStyle w:val="TableParagraph"/>
              <w:rPr>
                <w:sz w:val="24"/>
              </w:rPr>
            </w:pPr>
            <w:proofErr w:type="gramStart"/>
            <w:r>
              <w:rPr>
                <w:sz w:val="24"/>
              </w:rPr>
              <w:t>outstanding</w:t>
            </w:r>
            <w:proofErr w:type="gramEnd"/>
            <w:r>
              <w:rPr>
                <w:sz w:val="24"/>
              </w:rPr>
              <w:t xml:space="preserve"> leases.</w:t>
            </w:r>
          </w:p>
        </w:tc>
        <w:tc>
          <w:tcPr>
            <w:tcW w:w="3008" w:type="dxa"/>
          </w:tcPr>
          <w:p w:rsidR="00D5328E" w:rsidRDefault="00E7452A">
            <w:pPr>
              <w:pStyle w:val="TableParagraph"/>
              <w:spacing w:line="360" w:lineRule="auto"/>
              <w:ind w:right="81"/>
              <w:rPr>
                <w:i/>
                <w:sz w:val="24"/>
              </w:rPr>
            </w:pPr>
            <w:r>
              <w:rPr>
                <w:i/>
                <w:sz w:val="24"/>
              </w:rPr>
              <w:t xml:space="preserve">SAPO has appointed </w:t>
            </w:r>
            <w:proofErr w:type="spellStart"/>
            <w:r>
              <w:rPr>
                <w:i/>
                <w:sz w:val="24"/>
              </w:rPr>
              <w:t>Broll</w:t>
            </w:r>
            <w:proofErr w:type="spellEnd"/>
            <w:r>
              <w:rPr>
                <w:i/>
                <w:sz w:val="24"/>
              </w:rPr>
              <w:t xml:space="preserve"> </w:t>
            </w:r>
            <w:r>
              <w:rPr>
                <w:i/>
                <w:sz w:val="24"/>
              </w:rPr>
              <w:t>Properties to assist in this regard including the transfer of skills. Currently all property inventory are up to date. This item should therefore be considered complete.</w:t>
            </w:r>
          </w:p>
        </w:tc>
      </w:tr>
    </w:tbl>
    <w:p w:rsidR="00D5328E" w:rsidRDefault="00D5328E">
      <w:pPr>
        <w:pStyle w:val="BodyText"/>
        <w:rPr>
          <w:sz w:val="20"/>
        </w:rPr>
      </w:pPr>
    </w:p>
    <w:p w:rsidR="00D5328E" w:rsidRDefault="00D5328E">
      <w:pPr>
        <w:pStyle w:val="BodyText"/>
        <w:rPr>
          <w:sz w:val="20"/>
        </w:rPr>
      </w:pPr>
    </w:p>
    <w:p w:rsidR="00D5328E" w:rsidRDefault="00D5328E">
      <w:pPr>
        <w:pStyle w:val="BodyText"/>
        <w:spacing w:before="7"/>
        <w:rPr>
          <w:sz w:val="23"/>
        </w:rPr>
      </w:pPr>
    </w:p>
    <w:p w:rsidR="00D5328E" w:rsidRDefault="00E7452A">
      <w:pPr>
        <w:pStyle w:val="Heading1"/>
        <w:spacing w:before="93" w:line="360" w:lineRule="auto"/>
        <w:ind w:right="4284"/>
      </w:pPr>
      <w:r>
        <w:t>MS STELLA NDABENI-ABRAHAMS MINISTER</w:t>
      </w:r>
    </w:p>
    <w:sectPr w:rsidR="00D5328E" w:rsidSect="00D5328E">
      <w:pgSz w:w="12240" w:h="15840"/>
      <w:pgMar w:top="1420" w:right="1240" w:bottom="280" w:left="13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B2D85"/>
    <w:multiLevelType w:val="hybridMultilevel"/>
    <w:tmpl w:val="06A677AE"/>
    <w:lvl w:ilvl="0" w:tplc="D004D892">
      <w:start w:val="1"/>
      <w:numFmt w:val="lowerLetter"/>
      <w:lvlText w:val="(%1)"/>
      <w:lvlJc w:val="left"/>
      <w:pPr>
        <w:ind w:left="949" w:hanging="720"/>
        <w:jc w:val="left"/>
      </w:pPr>
      <w:rPr>
        <w:rFonts w:ascii="Arial" w:eastAsia="Arial" w:hAnsi="Arial" w:cs="Arial" w:hint="default"/>
        <w:w w:val="99"/>
        <w:sz w:val="24"/>
        <w:szCs w:val="24"/>
        <w:lang w:val="en-US" w:eastAsia="en-US" w:bidi="en-US"/>
      </w:rPr>
    </w:lvl>
    <w:lvl w:ilvl="1" w:tplc="08CAAD0A">
      <w:start w:val="1"/>
      <w:numFmt w:val="decimal"/>
      <w:lvlText w:val="(%2)"/>
      <w:lvlJc w:val="left"/>
      <w:pPr>
        <w:ind w:left="1789" w:hanging="732"/>
        <w:jc w:val="left"/>
      </w:pPr>
      <w:rPr>
        <w:rFonts w:ascii="Arial" w:eastAsia="Arial" w:hAnsi="Arial" w:cs="Arial" w:hint="default"/>
        <w:w w:val="99"/>
        <w:sz w:val="24"/>
        <w:szCs w:val="24"/>
        <w:lang w:val="en-US" w:eastAsia="en-US" w:bidi="en-US"/>
      </w:rPr>
    </w:lvl>
    <w:lvl w:ilvl="2" w:tplc="D0B6764A">
      <w:start w:val="1"/>
      <w:numFmt w:val="lowerLetter"/>
      <w:lvlText w:val="(%3)"/>
      <w:lvlJc w:val="left"/>
      <w:pPr>
        <w:ind w:left="2389" w:hanging="600"/>
        <w:jc w:val="left"/>
      </w:pPr>
      <w:rPr>
        <w:rFonts w:ascii="Arial" w:eastAsia="Arial" w:hAnsi="Arial" w:cs="Arial" w:hint="default"/>
        <w:w w:val="99"/>
        <w:sz w:val="24"/>
        <w:szCs w:val="24"/>
        <w:lang w:val="en-US" w:eastAsia="en-US" w:bidi="en-US"/>
      </w:rPr>
    </w:lvl>
    <w:lvl w:ilvl="3" w:tplc="9058EF2A">
      <w:numFmt w:val="bullet"/>
      <w:lvlText w:val="•"/>
      <w:lvlJc w:val="left"/>
      <w:pPr>
        <w:ind w:left="2500" w:hanging="600"/>
      </w:pPr>
      <w:rPr>
        <w:rFonts w:hint="default"/>
        <w:lang w:val="en-US" w:eastAsia="en-US" w:bidi="en-US"/>
      </w:rPr>
    </w:lvl>
    <w:lvl w:ilvl="4" w:tplc="ABD46C4E">
      <w:numFmt w:val="bullet"/>
      <w:lvlText w:val="•"/>
      <w:lvlJc w:val="left"/>
      <w:pPr>
        <w:ind w:left="3520" w:hanging="600"/>
      </w:pPr>
      <w:rPr>
        <w:rFonts w:hint="default"/>
        <w:lang w:val="en-US" w:eastAsia="en-US" w:bidi="en-US"/>
      </w:rPr>
    </w:lvl>
    <w:lvl w:ilvl="5" w:tplc="7A5A37C4">
      <w:numFmt w:val="bullet"/>
      <w:lvlText w:val="•"/>
      <w:lvlJc w:val="left"/>
      <w:pPr>
        <w:ind w:left="4540" w:hanging="600"/>
      </w:pPr>
      <w:rPr>
        <w:rFonts w:hint="default"/>
        <w:lang w:val="en-US" w:eastAsia="en-US" w:bidi="en-US"/>
      </w:rPr>
    </w:lvl>
    <w:lvl w:ilvl="6" w:tplc="DA663B70">
      <w:numFmt w:val="bullet"/>
      <w:lvlText w:val="•"/>
      <w:lvlJc w:val="left"/>
      <w:pPr>
        <w:ind w:left="5560" w:hanging="600"/>
      </w:pPr>
      <w:rPr>
        <w:rFonts w:hint="default"/>
        <w:lang w:val="en-US" w:eastAsia="en-US" w:bidi="en-US"/>
      </w:rPr>
    </w:lvl>
    <w:lvl w:ilvl="7" w:tplc="BD60C4D2">
      <w:numFmt w:val="bullet"/>
      <w:lvlText w:val="•"/>
      <w:lvlJc w:val="left"/>
      <w:pPr>
        <w:ind w:left="6580" w:hanging="600"/>
      </w:pPr>
      <w:rPr>
        <w:rFonts w:hint="default"/>
        <w:lang w:val="en-US" w:eastAsia="en-US" w:bidi="en-US"/>
      </w:rPr>
    </w:lvl>
    <w:lvl w:ilvl="8" w:tplc="5204F9FE">
      <w:numFmt w:val="bullet"/>
      <w:lvlText w:val="•"/>
      <w:lvlJc w:val="left"/>
      <w:pPr>
        <w:ind w:left="7600" w:hanging="600"/>
      </w:pPr>
      <w:rPr>
        <w:rFonts w:hint="default"/>
        <w:lang w:val="en-US" w:eastAsia="en-US" w:bidi="en-US"/>
      </w:rPr>
    </w:lvl>
  </w:abstractNum>
  <w:abstractNum w:abstractNumId="1">
    <w:nsid w:val="6C5C5F42"/>
    <w:multiLevelType w:val="hybridMultilevel"/>
    <w:tmpl w:val="77080250"/>
    <w:lvl w:ilvl="0" w:tplc="EE90C41E">
      <w:numFmt w:val="bullet"/>
      <w:lvlText w:val=""/>
      <w:lvlJc w:val="left"/>
      <w:pPr>
        <w:ind w:left="827" w:hanging="360"/>
      </w:pPr>
      <w:rPr>
        <w:rFonts w:ascii="Symbol" w:eastAsia="Symbol" w:hAnsi="Symbol" w:cs="Symbol" w:hint="default"/>
        <w:w w:val="100"/>
        <w:sz w:val="24"/>
        <w:szCs w:val="24"/>
        <w:lang w:val="en-US" w:eastAsia="en-US" w:bidi="en-US"/>
      </w:rPr>
    </w:lvl>
    <w:lvl w:ilvl="1" w:tplc="58006454">
      <w:numFmt w:val="bullet"/>
      <w:lvlText w:val="•"/>
      <w:lvlJc w:val="left"/>
      <w:pPr>
        <w:ind w:left="1037" w:hanging="360"/>
      </w:pPr>
      <w:rPr>
        <w:rFonts w:hint="default"/>
        <w:lang w:val="en-US" w:eastAsia="en-US" w:bidi="en-US"/>
      </w:rPr>
    </w:lvl>
    <w:lvl w:ilvl="2" w:tplc="566E47CE">
      <w:numFmt w:val="bullet"/>
      <w:lvlText w:val="•"/>
      <w:lvlJc w:val="left"/>
      <w:pPr>
        <w:ind w:left="1255" w:hanging="360"/>
      </w:pPr>
      <w:rPr>
        <w:rFonts w:hint="default"/>
        <w:lang w:val="en-US" w:eastAsia="en-US" w:bidi="en-US"/>
      </w:rPr>
    </w:lvl>
    <w:lvl w:ilvl="3" w:tplc="2B5E2F58">
      <w:numFmt w:val="bullet"/>
      <w:lvlText w:val="•"/>
      <w:lvlJc w:val="left"/>
      <w:pPr>
        <w:ind w:left="1472" w:hanging="360"/>
      </w:pPr>
      <w:rPr>
        <w:rFonts w:hint="default"/>
        <w:lang w:val="en-US" w:eastAsia="en-US" w:bidi="en-US"/>
      </w:rPr>
    </w:lvl>
    <w:lvl w:ilvl="4" w:tplc="93A21324">
      <w:numFmt w:val="bullet"/>
      <w:lvlText w:val="•"/>
      <w:lvlJc w:val="left"/>
      <w:pPr>
        <w:ind w:left="1690" w:hanging="360"/>
      </w:pPr>
      <w:rPr>
        <w:rFonts w:hint="default"/>
        <w:lang w:val="en-US" w:eastAsia="en-US" w:bidi="en-US"/>
      </w:rPr>
    </w:lvl>
    <w:lvl w:ilvl="5" w:tplc="B55C3954">
      <w:numFmt w:val="bullet"/>
      <w:lvlText w:val="•"/>
      <w:lvlJc w:val="left"/>
      <w:pPr>
        <w:ind w:left="1907" w:hanging="360"/>
      </w:pPr>
      <w:rPr>
        <w:rFonts w:hint="default"/>
        <w:lang w:val="en-US" w:eastAsia="en-US" w:bidi="en-US"/>
      </w:rPr>
    </w:lvl>
    <w:lvl w:ilvl="6" w:tplc="D9D43E6C">
      <w:numFmt w:val="bullet"/>
      <w:lvlText w:val="•"/>
      <w:lvlJc w:val="left"/>
      <w:pPr>
        <w:ind w:left="2125" w:hanging="360"/>
      </w:pPr>
      <w:rPr>
        <w:rFonts w:hint="default"/>
        <w:lang w:val="en-US" w:eastAsia="en-US" w:bidi="en-US"/>
      </w:rPr>
    </w:lvl>
    <w:lvl w:ilvl="7" w:tplc="31CA6178">
      <w:numFmt w:val="bullet"/>
      <w:lvlText w:val="•"/>
      <w:lvlJc w:val="left"/>
      <w:pPr>
        <w:ind w:left="2342" w:hanging="360"/>
      </w:pPr>
      <w:rPr>
        <w:rFonts w:hint="default"/>
        <w:lang w:val="en-US" w:eastAsia="en-US" w:bidi="en-US"/>
      </w:rPr>
    </w:lvl>
    <w:lvl w:ilvl="8" w:tplc="96F8327E">
      <w:numFmt w:val="bullet"/>
      <w:lvlText w:val="•"/>
      <w:lvlJc w:val="left"/>
      <w:pPr>
        <w:ind w:left="256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5328E"/>
    <w:rsid w:val="006C5CE2"/>
    <w:rsid w:val="00D5328E"/>
    <w:rsid w:val="00E7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328E"/>
    <w:rPr>
      <w:rFonts w:ascii="Arial" w:eastAsia="Arial" w:hAnsi="Arial" w:cs="Arial"/>
      <w:lang w:bidi="en-US"/>
    </w:rPr>
  </w:style>
  <w:style w:type="paragraph" w:styleId="Heading1">
    <w:name w:val="heading 1"/>
    <w:basedOn w:val="Normal"/>
    <w:uiPriority w:val="1"/>
    <w:qFormat/>
    <w:rsid w:val="00D5328E"/>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328E"/>
    <w:rPr>
      <w:sz w:val="24"/>
      <w:szCs w:val="24"/>
    </w:rPr>
  </w:style>
  <w:style w:type="paragraph" w:styleId="ListParagraph">
    <w:name w:val="List Paragraph"/>
    <w:basedOn w:val="Normal"/>
    <w:uiPriority w:val="1"/>
    <w:qFormat/>
    <w:rsid w:val="00D5328E"/>
    <w:pPr>
      <w:ind w:left="1789" w:hanging="852"/>
    </w:pPr>
  </w:style>
  <w:style w:type="paragraph" w:customStyle="1" w:styleId="TableParagraph">
    <w:name w:val="Table Paragraph"/>
    <w:basedOn w:val="Normal"/>
    <w:uiPriority w:val="1"/>
    <w:qFormat/>
    <w:rsid w:val="00D5328E"/>
    <w:pPr>
      <w:ind w:left="1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11</vt:lpstr>
    </vt:vector>
  </TitlesOfParts>
  <Company>Deftones</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2019-12-04T12:22:00Z</dcterms:created>
  <dcterms:modified xsi:type="dcterms:W3CDTF">2019-12-04T12:22:00Z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2016</vt:lpwstr>
  </property>
  <property fmtid="{D5CDD505-2E9C-101B-9397-08002B2CF9AE}" pid="4" name="LastSaved">
    <vt:filetime>2019-12-04T00:00:00Z</vt:filetime>
  </property>
</Properties>
</file>