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07056" w:rsidRPr="00E07056" w:rsidTr="00824290">
        <w:tc>
          <w:tcPr>
            <w:tcW w:w="9360" w:type="dxa"/>
          </w:tcPr>
          <w:p w:rsidR="00E07056" w:rsidRPr="00E07056" w:rsidRDefault="00E07056" w:rsidP="00824290">
            <w:pPr>
              <w:spacing w:line="360" w:lineRule="auto"/>
              <w:jc w:val="center"/>
              <w:rPr>
                <w:rFonts w:ascii="Arial" w:hAnsi="Arial" w:cs="Arial"/>
                <w:b/>
                <w:sz w:val="24"/>
                <w:szCs w:val="24"/>
              </w:rPr>
            </w:pPr>
            <w:bookmarkStart w:id="0" w:name="_GoBack"/>
            <w:bookmarkEnd w:id="0"/>
            <w:r w:rsidRPr="00E07056">
              <w:rPr>
                <w:rFonts w:ascii="Arial" w:hAnsi="Arial" w:cs="Arial"/>
                <w:b/>
                <w:sz w:val="24"/>
                <w:szCs w:val="24"/>
              </w:rPr>
              <w:t>PARLIAMENT OF THE REPUBLIC OF SOUTH AFRICA</w:t>
            </w:r>
          </w:p>
          <w:p w:rsidR="00E07056" w:rsidRPr="00E07056" w:rsidRDefault="00E07056" w:rsidP="00824290">
            <w:pPr>
              <w:spacing w:line="360" w:lineRule="auto"/>
              <w:ind w:left="540" w:hanging="540"/>
              <w:jc w:val="center"/>
              <w:rPr>
                <w:rFonts w:ascii="Arial" w:hAnsi="Arial" w:cs="Arial"/>
                <w:sz w:val="24"/>
                <w:szCs w:val="24"/>
              </w:rPr>
            </w:pPr>
            <w:r w:rsidRPr="00E07056">
              <w:rPr>
                <w:rFonts w:ascii="Arial" w:hAnsi="Arial" w:cs="Arial"/>
                <w:b/>
                <w:sz w:val="24"/>
                <w:szCs w:val="24"/>
              </w:rPr>
              <w:t>NATIONAL ASSEMBLY</w:t>
            </w:r>
          </w:p>
        </w:tc>
      </w:tr>
    </w:tbl>
    <w:p w:rsidR="00E07056" w:rsidRPr="00E07056" w:rsidRDefault="00E07056" w:rsidP="00E07056">
      <w:pPr>
        <w:spacing w:line="360" w:lineRule="auto"/>
        <w:ind w:left="540" w:hanging="540"/>
        <w:rPr>
          <w:rFonts w:ascii="Arial" w:hAnsi="Arial" w:cs="Arial"/>
          <w:sz w:val="24"/>
          <w:szCs w:val="24"/>
        </w:rPr>
      </w:pPr>
    </w:p>
    <w:p w:rsidR="00E07056" w:rsidRPr="00360736" w:rsidRDefault="00360736" w:rsidP="00360736">
      <w:pPr>
        <w:spacing w:line="360" w:lineRule="auto"/>
        <w:ind w:left="540" w:hanging="540"/>
        <w:rPr>
          <w:rFonts w:ascii="Arial" w:hAnsi="Arial" w:cs="Arial"/>
          <w:b/>
          <w:sz w:val="24"/>
          <w:szCs w:val="24"/>
        </w:rPr>
      </w:pPr>
      <w:r w:rsidRPr="00360736">
        <w:rPr>
          <w:rFonts w:ascii="Arial" w:hAnsi="Arial" w:cs="Arial"/>
          <w:b/>
          <w:sz w:val="24"/>
          <w:szCs w:val="24"/>
        </w:rPr>
        <w:t xml:space="preserve">QUESTION </w:t>
      </w:r>
      <w:r w:rsidR="00E07056" w:rsidRPr="00360736">
        <w:rPr>
          <w:rFonts w:ascii="Arial" w:hAnsi="Arial" w:cs="Arial"/>
          <w:b/>
          <w:sz w:val="24"/>
          <w:szCs w:val="24"/>
        </w:rPr>
        <w:t>FOR WRITTEN REPLY</w:t>
      </w:r>
    </w:p>
    <w:p w:rsidR="00E07056" w:rsidRPr="00360736" w:rsidRDefault="00360736" w:rsidP="00E07056">
      <w:pPr>
        <w:spacing w:line="360" w:lineRule="auto"/>
        <w:jc w:val="both"/>
        <w:rPr>
          <w:rFonts w:ascii="Arial" w:hAnsi="Arial" w:cs="Arial"/>
          <w:b/>
          <w:sz w:val="24"/>
          <w:szCs w:val="24"/>
        </w:rPr>
      </w:pPr>
      <w:r w:rsidRPr="00360736">
        <w:rPr>
          <w:rFonts w:ascii="Arial" w:hAnsi="Arial" w:cs="Arial"/>
          <w:b/>
          <w:sz w:val="24"/>
          <w:szCs w:val="24"/>
        </w:rPr>
        <w:t xml:space="preserve">PARLIAMENTARY </w:t>
      </w:r>
      <w:r w:rsidR="00E07056" w:rsidRPr="00360736">
        <w:rPr>
          <w:rFonts w:ascii="Arial" w:hAnsi="Arial" w:cs="Arial"/>
          <w:b/>
          <w:sz w:val="24"/>
          <w:szCs w:val="24"/>
        </w:rPr>
        <w:t>QUESTION NO: 547</w:t>
      </w:r>
    </w:p>
    <w:p w:rsidR="00360736" w:rsidRDefault="00360736" w:rsidP="00E07056">
      <w:pPr>
        <w:spacing w:line="360" w:lineRule="auto"/>
        <w:jc w:val="both"/>
        <w:rPr>
          <w:rFonts w:ascii="Arial" w:hAnsi="Arial" w:cs="Arial"/>
          <w:b/>
          <w:sz w:val="24"/>
          <w:szCs w:val="24"/>
        </w:rPr>
      </w:pPr>
      <w:r>
        <w:rPr>
          <w:rFonts w:ascii="Arial" w:hAnsi="Arial" w:cs="Arial"/>
          <w:b/>
          <w:sz w:val="24"/>
          <w:szCs w:val="24"/>
        </w:rPr>
        <w:t>DATE OF QUESTION: 17 APRIL 2020</w:t>
      </w:r>
    </w:p>
    <w:p w:rsidR="00360736" w:rsidRPr="00E07056" w:rsidRDefault="00360736" w:rsidP="00E07056">
      <w:pPr>
        <w:spacing w:line="360" w:lineRule="auto"/>
        <w:jc w:val="both"/>
        <w:rPr>
          <w:rFonts w:ascii="Arial" w:hAnsi="Arial" w:cs="Arial"/>
          <w:sz w:val="24"/>
          <w:szCs w:val="24"/>
        </w:rPr>
      </w:pPr>
      <w:r>
        <w:rPr>
          <w:rFonts w:ascii="Arial" w:hAnsi="Arial" w:cs="Arial"/>
          <w:b/>
          <w:sz w:val="24"/>
          <w:szCs w:val="24"/>
        </w:rPr>
        <w:t>DATE OF SUBMISSION: 04 APRIL 2020</w:t>
      </w:r>
    </w:p>
    <w:p w:rsidR="00E5556C" w:rsidRPr="00E07056" w:rsidRDefault="00E5556C" w:rsidP="00661C85">
      <w:pPr>
        <w:rPr>
          <w:rFonts w:ascii="Arial" w:hAnsi="Arial" w:cs="Arial"/>
          <w:b/>
          <w:sz w:val="24"/>
          <w:szCs w:val="24"/>
        </w:rPr>
      </w:pPr>
    </w:p>
    <w:p w:rsidR="00661C85" w:rsidRPr="00E07056" w:rsidRDefault="00661C85" w:rsidP="00E07056">
      <w:pPr>
        <w:spacing w:line="360" w:lineRule="auto"/>
        <w:jc w:val="both"/>
        <w:rPr>
          <w:rFonts w:ascii="Arial" w:hAnsi="Arial" w:cs="Arial"/>
          <w:b/>
          <w:sz w:val="24"/>
          <w:szCs w:val="24"/>
        </w:rPr>
      </w:pPr>
      <w:r w:rsidRPr="00E07056">
        <w:rPr>
          <w:rFonts w:ascii="Arial" w:hAnsi="Arial" w:cs="Arial"/>
          <w:b/>
          <w:sz w:val="24"/>
          <w:szCs w:val="24"/>
        </w:rPr>
        <w:t xml:space="preserve">Mr J Selfe (DA) to ask the Minister of Justice and Correctional Services: </w:t>
      </w:r>
    </w:p>
    <w:p w:rsidR="00661C85" w:rsidRPr="00E07056" w:rsidRDefault="00661C85" w:rsidP="00E07056">
      <w:pPr>
        <w:pStyle w:val="ListParagraph"/>
        <w:numPr>
          <w:ilvl w:val="0"/>
          <w:numId w:val="3"/>
        </w:numPr>
        <w:spacing w:line="360" w:lineRule="auto"/>
        <w:ind w:hanging="630"/>
        <w:jc w:val="both"/>
        <w:rPr>
          <w:rFonts w:ascii="Arial" w:hAnsi="Arial" w:cs="Arial"/>
          <w:sz w:val="24"/>
          <w:szCs w:val="24"/>
        </w:rPr>
      </w:pPr>
      <w:r w:rsidRPr="00E07056">
        <w:rPr>
          <w:rFonts w:ascii="Arial" w:hAnsi="Arial" w:cs="Arial"/>
          <w:sz w:val="24"/>
          <w:szCs w:val="24"/>
        </w:rPr>
        <w:t>What is the bed space available for remand detainees in his department</w:t>
      </w:r>
      <w:r w:rsidR="00E5556C" w:rsidRPr="00E07056">
        <w:rPr>
          <w:rFonts w:ascii="Arial" w:hAnsi="Arial" w:cs="Arial"/>
          <w:sz w:val="24"/>
          <w:szCs w:val="24"/>
        </w:rPr>
        <w:t>?</w:t>
      </w:r>
    </w:p>
    <w:p w:rsidR="00E5556C" w:rsidRPr="00E07056" w:rsidRDefault="00E5556C" w:rsidP="00E07056">
      <w:pPr>
        <w:pStyle w:val="ListParagraph"/>
        <w:numPr>
          <w:ilvl w:val="0"/>
          <w:numId w:val="3"/>
        </w:numPr>
        <w:spacing w:line="360" w:lineRule="auto"/>
        <w:ind w:hanging="630"/>
        <w:jc w:val="both"/>
        <w:rPr>
          <w:rFonts w:ascii="Arial" w:hAnsi="Arial" w:cs="Arial"/>
          <w:sz w:val="24"/>
          <w:szCs w:val="24"/>
        </w:rPr>
      </w:pPr>
      <w:r w:rsidRPr="00E07056">
        <w:rPr>
          <w:rFonts w:ascii="Arial" w:hAnsi="Arial" w:cs="Arial"/>
          <w:sz w:val="24"/>
          <w:szCs w:val="24"/>
        </w:rPr>
        <w:t>What number of detainees were incarcerated at remand detention faci</w:t>
      </w:r>
      <w:r w:rsidR="00E07056" w:rsidRPr="00E07056">
        <w:rPr>
          <w:rFonts w:ascii="Arial" w:hAnsi="Arial" w:cs="Arial"/>
          <w:sz w:val="24"/>
          <w:szCs w:val="24"/>
        </w:rPr>
        <w:t>lities as at 31 December 2019?</w:t>
      </w:r>
    </w:p>
    <w:p w:rsidR="00E5556C" w:rsidRPr="00E07056" w:rsidRDefault="00E5556C" w:rsidP="00E07056">
      <w:pPr>
        <w:pStyle w:val="ListParagraph"/>
        <w:numPr>
          <w:ilvl w:val="0"/>
          <w:numId w:val="3"/>
        </w:numPr>
        <w:spacing w:line="360" w:lineRule="auto"/>
        <w:ind w:hanging="630"/>
        <w:jc w:val="both"/>
        <w:rPr>
          <w:rFonts w:ascii="Arial" w:hAnsi="Arial" w:cs="Arial"/>
          <w:sz w:val="24"/>
          <w:szCs w:val="24"/>
        </w:rPr>
      </w:pPr>
      <w:r w:rsidRPr="00E07056">
        <w:rPr>
          <w:rFonts w:ascii="Arial" w:hAnsi="Arial" w:cs="Arial"/>
          <w:sz w:val="24"/>
          <w:szCs w:val="24"/>
        </w:rPr>
        <w:t>What steps is his Department of Correctional Services taking to reduce the overcrowding of rem</w:t>
      </w:r>
      <w:r w:rsidR="007C4F9A">
        <w:rPr>
          <w:rFonts w:ascii="Arial" w:hAnsi="Arial" w:cs="Arial"/>
          <w:sz w:val="24"/>
          <w:szCs w:val="24"/>
        </w:rPr>
        <w:t xml:space="preserve">and detention facilities? </w:t>
      </w:r>
      <w:r w:rsidR="007C4F9A">
        <w:rPr>
          <w:rFonts w:ascii="Arial" w:hAnsi="Arial" w:cs="Arial"/>
          <w:sz w:val="24"/>
          <w:szCs w:val="24"/>
        </w:rPr>
        <w:tab/>
      </w:r>
      <w:r w:rsidRPr="007C4F9A">
        <w:rPr>
          <w:rFonts w:ascii="Arial" w:hAnsi="Arial" w:cs="Arial"/>
          <w:b/>
          <w:sz w:val="24"/>
          <w:szCs w:val="24"/>
        </w:rPr>
        <w:t>NW734E</w:t>
      </w:r>
    </w:p>
    <w:p w:rsidR="00E5556C" w:rsidRPr="00E07056" w:rsidRDefault="00E5556C" w:rsidP="00E07056">
      <w:pPr>
        <w:spacing w:line="360" w:lineRule="auto"/>
        <w:jc w:val="both"/>
        <w:rPr>
          <w:rFonts w:ascii="Arial" w:hAnsi="Arial" w:cs="Arial"/>
          <w:sz w:val="24"/>
          <w:szCs w:val="24"/>
        </w:rPr>
      </w:pPr>
    </w:p>
    <w:p w:rsidR="00E5556C" w:rsidRPr="00E07056" w:rsidRDefault="00E5556C" w:rsidP="00E07056">
      <w:pPr>
        <w:spacing w:line="360" w:lineRule="auto"/>
        <w:jc w:val="both"/>
        <w:rPr>
          <w:rFonts w:ascii="Arial" w:hAnsi="Arial" w:cs="Arial"/>
          <w:b/>
          <w:sz w:val="24"/>
          <w:szCs w:val="24"/>
        </w:rPr>
      </w:pPr>
      <w:r w:rsidRPr="00E07056">
        <w:rPr>
          <w:rFonts w:ascii="Arial" w:hAnsi="Arial" w:cs="Arial"/>
          <w:b/>
          <w:sz w:val="24"/>
          <w:szCs w:val="24"/>
        </w:rPr>
        <w:t>REPLY</w:t>
      </w:r>
    </w:p>
    <w:p w:rsidR="008F1B8A" w:rsidRPr="00E07056" w:rsidRDefault="00E5556C" w:rsidP="00E07056">
      <w:pPr>
        <w:pStyle w:val="ListParagraph"/>
        <w:numPr>
          <w:ilvl w:val="0"/>
          <w:numId w:val="2"/>
        </w:numPr>
        <w:spacing w:line="360" w:lineRule="auto"/>
        <w:jc w:val="both"/>
        <w:rPr>
          <w:rFonts w:ascii="Arial" w:hAnsi="Arial" w:cs="Arial"/>
          <w:sz w:val="24"/>
          <w:szCs w:val="24"/>
          <w:lang w:val="en-GB"/>
        </w:rPr>
      </w:pPr>
      <w:r w:rsidRPr="00E07056">
        <w:rPr>
          <w:rFonts w:ascii="Arial" w:hAnsi="Arial" w:cs="Arial"/>
          <w:sz w:val="24"/>
          <w:szCs w:val="24"/>
          <w:lang w:val="en-GB"/>
        </w:rPr>
        <w:t xml:space="preserve">The Department of Correctional Services has a </w:t>
      </w:r>
      <w:r w:rsidR="00E07056" w:rsidRPr="00E07056">
        <w:rPr>
          <w:rFonts w:ascii="Arial" w:hAnsi="Arial" w:cs="Arial"/>
          <w:sz w:val="24"/>
          <w:szCs w:val="24"/>
          <w:lang w:val="en-GB"/>
        </w:rPr>
        <w:t xml:space="preserve">total </w:t>
      </w:r>
      <w:r w:rsidR="00E07056">
        <w:rPr>
          <w:rFonts w:ascii="Arial" w:hAnsi="Arial" w:cs="Arial"/>
          <w:sz w:val="24"/>
          <w:szCs w:val="24"/>
          <w:lang w:val="en-GB"/>
        </w:rPr>
        <w:t xml:space="preserve">of </w:t>
      </w:r>
      <w:r w:rsidR="00E07056" w:rsidRPr="00E07056">
        <w:rPr>
          <w:rFonts w:ascii="Arial" w:hAnsi="Arial" w:cs="Arial"/>
          <w:b/>
          <w:sz w:val="24"/>
          <w:szCs w:val="24"/>
          <w:lang w:val="en-GB"/>
        </w:rPr>
        <w:t>118 572</w:t>
      </w:r>
      <w:r w:rsidR="00E07056" w:rsidRPr="00E07056">
        <w:rPr>
          <w:rFonts w:ascii="Arial" w:hAnsi="Arial" w:cs="Arial"/>
          <w:sz w:val="24"/>
          <w:szCs w:val="24"/>
          <w:lang w:val="en-GB"/>
        </w:rPr>
        <w:t xml:space="preserve"> bed space</w:t>
      </w:r>
      <w:r w:rsidRPr="00E07056">
        <w:rPr>
          <w:rFonts w:ascii="Arial" w:hAnsi="Arial" w:cs="Arial"/>
          <w:sz w:val="24"/>
          <w:szCs w:val="24"/>
          <w:lang w:val="en-GB"/>
        </w:rPr>
        <w:t xml:space="preserve"> w</w:t>
      </w:r>
      <w:r w:rsidR="00E07056">
        <w:rPr>
          <w:rFonts w:ascii="Arial" w:hAnsi="Arial" w:cs="Arial"/>
          <w:sz w:val="24"/>
          <w:szCs w:val="24"/>
          <w:lang w:val="en-GB"/>
        </w:rPr>
        <w:t>hich is utilis</w:t>
      </w:r>
      <w:r w:rsidRPr="00E07056">
        <w:rPr>
          <w:rFonts w:ascii="Arial" w:hAnsi="Arial" w:cs="Arial"/>
          <w:sz w:val="24"/>
          <w:szCs w:val="24"/>
          <w:lang w:val="en-GB"/>
        </w:rPr>
        <w:t>ed</w:t>
      </w:r>
      <w:r w:rsidR="00E07056">
        <w:rPr>
          <w:rFonts w:ascii="Arial" w:hAnsi="Arial" w:cs="Arial"/>
          <w:sz w:val="24"/>
          <w:szCs w:val="24"/>
          <w:lang w:val="en-GB"/>
        </w:rPr>
        <w:t xml:space="preserve"> </w:t>
      </w:r>
      <w:r w:rsidRPr="00E07056">
        <w:rPr>
          <w:rFonts w:ascii="Arial" w:hAnsi="Arial" w:cs="Arial"/>
          <w:sz w:val="24"/>
          <w:szCs w:val="24"/>
          <w:lang w:val="en-GB"/>
        </w:rPr>
        <w:t xml:space="preserve">to accommodate all categories of inmates. </w:t>
      </w:r>
      <w:r w:rsidR="00E07056">
        <w:rPr>
          <w:rFonts w:ascii="Arial" w:hAnsi="Arial" w:cs="Arial"/>
          <w:sz w:val="24"/>
          <w:szCs w:val="24"/>
          <w:lang w:val="en-GB"/>
        </w:rPr>
        <w:t xml:space="preserve"> However, t</w:t>
      </w:r>
      <w:r w:rsidRPr="00E07056">
        <w:rPr>
          <w:rFonts w:ascii="Arial" w:hAnsi="Arial" w:cs="Arial"/>
          <w:sz w:val="24"/>
          <w:szCs w:val="24"/>
          <w:lang w:val="en-GB"/>
        </w:rPr>
        <w:t xml:space="preserve">here are dedicated Remand Detention Facilities (RDFs) which house mainly remand detainees and a fraction of sentenced offenders to perform labour which cannot be </w:t>
      </w:r>
      <w:r w:rsidR="00E07056">
        <w:rPr>
          <w:rFonts w:ascii="Arial" w:hAnsi="Arial" w:cs="Arial"/>
          <w:sz w:val="24"/>
          <w:szCs w:val="24"/>
          <w:lang w:val="en-GB"/>
        </w:rPr>
        <w:t>performed</w:t>
      </w:r>
      <w:r w:rsidR="00E07056" w:rsidRPr="00E07056">
        <w:rPr>
          <w:rFonts w:ascii="Arial" w:hAnsi="Arial" w:cs="Arial"/>
          <w:sz w:val="24"/>
          <w:szCs w:val="24"/>
          <w:lang w:val="en-GB"/>
        </w:rPr>
        <w:t xml:space="preserve"> </w:t>
      </w:r>
      <w:r w:rsidRPr="00E07056">
        <w:rPr>
          <w:rFonts w:ascii="Arial" w:hAnsi="Arial" w:cs="Arial"/>
          <w:sz w:val="24"/>
          <w:szCs w:val="24"/>
          <w:lang w:val="en-GB"/>
        </w:rPr>
        <w:t xml:space="preserve">by remand detainees. </w:t>
      </w:r>
      <w:r w:rsidR="00E07056">
        <w:rPr>
          <w:rFonts w:ascii="Arial" w:hAnsi="Arial" w:cs="Arial"/>
          <w:sz w:val="24"/>
          <w:szCs w:val="24"/>
          <w:lang w:val="en-GB"/>
        </w:rPr>
        <w:t xml:space="preserve"> </w:t>
      </w:r>
      <w:r w:rsidR="00C1247D" w:rsidRPr="00E07056">
        <w:rPr>
          <w:rFonts w:ascii="Arial" w:hAnsi="Arial" w:cs="Arial"/>
          <w:sz w:val="24"/>
          <w:szCs w:val="24"/>
          <w:lang w:val="en-GB"/>
        </w:rPr>
        <w:t>As at 10 April 2020 the approved bed</w:t>
      </w:r>
      <w:r w:rsidR="00E07056">
        <w:rPr>
          <w:rFonts w:ascii="Arial" w:hAnsi="Arial" w:cs="Arial"/>
          <w:sz w:val="24"/>
          <w:szCs w:val="24"/>
          <w:lang w:val="en-GB"/>
        </w:rPr>
        <w:t xml:space="preserve"> </w:t>
      </w:r>
      <w:r w:rsidR="00C1247D" w:rsidRPr="00E07056">
        <w:rPr>
          <w:rFonts w:ascii="Arial" w:hAnsi="Arial" w:cs="Arial"/>
          <w:sz w:val="24"/>
          <w:szCs w:val="24"/>
          <w:lang w:val="en-GB"/>
        </w:rPr>
        <w:t xml:space="preserve">space for 20 dedicated </w:t>
      </w:r>
      <w:r w:rsidR="00E07056">
        <w:rPr>
          <w:rFonts w:ascii="Arial" w:hAnsi="Arial" w:cs="Arial"/>
          <w:sz w:val="24"/>
          <w:szCs w:val="24"/>
          <w:lang w:val="en-GB"/>
        </w:rPr>
        <w:t xml:space="preserve">under </w:t>
      </w:r>
      <w:r w:rsidR="00C1247D" w:rsidRPr="00E07056">
        <w:rPr>
          <w:rFonts w:ascii="Arial" w:hAnsi="Arial" w:cs="Arial"/>
          <w:sz w:val="24"/>
          <w:szCs w:val="24"/>
          <w:lang w:val="en-GB"/>
        </w:rPr>
        <w:t xml:space="preserve">RDFs was 15 120. </w:t>
      </w:r>
    </w:p>
    <w:p w:rsidR="00E5556C" w:rsidRPr="00E07056" w:rsidRDefault="00E5556C" w:rsidP="00E07056">
      <w:pPr>
        <w:spacing w:after="0" w:line="240" w:lineRule="auto"/>
        <w:jc w:val="both"/>
        <w:rPr>
          <w:rFonts w:ascii="Arial" w:hAnsi="Arial" w:cs="Arial"/>
          <w:sz w:val="24"/>
          <w:szCs w:val="24"/>
          <w:lang w:val="en-GB"/>
        </w:rPr>
      </w:pPr>
    </w:p>
    <w:p w:rsidR="00E5556C" w:rsidRPr="00E07056" w:rsidRDefault="00E07056" w:rsidP="00E07056">
      <w:pPr>
        <w:pStyle w:val="ListParagraph"/>
        <w:numPr>
          <w:ilvl w:val="0"/>
          <w:numId w:val="2"/>
        </w:numPr>
        <w:spacing w:line="360" w:lineRule="auto"/>
        <w:ind w:hanging="720"/>
        <w:jc w:val="both"/>
        <w:rPr>
          <w:rFonts w:ascii="Arial" w:hAnsi="Arial" w:cs="Arial"/>
          <w:sz w:val="24"/>
          <w:szCs w:val="24"/>
          <w:lang w:val="en-GB"/>
        </w:rPr>
      </w:pPr>
      <w:r w:rsidRPr="00E07056">
        <w:rPr>
          <w:rFonts w:ascii="Arial" w:hAnsi="Arial" w:cs="Arial"/>
          <w:b/>
          <w:sz w:val="24"/>
          <w:szCs w:val="24"/>
          <w:lang w:val="en-GB"/>
        </w:rPr>
        <w:t>51 636</w:t>
      </w:r>
      <w:r w:rsidRPr="00E07056">
        <w:rPr>
          <w:rFonts w:ascii="Arial" w:hAnsi="Arial" w:cs="Arial"/>
          <w:sz w:val="24"/>
          <w:szCs w:val="24"/>
          <w:lang w:val="en-GB"/>
        </w:rPr>
        <w:t xml:space="preserve"> </w:t>
      </w:r>
      <w:r>
        <w:rPr>
          <w:rFonts w:ascii="Arial" w:hAnsi="Arial" w:cs="Arial"/>
          <w:sz w:val="24"/>
          <w:szCs w:val="24"/>
          <w:lang w:val="en-GB"/>
        </w:rPr>
        <w:t>Remand D</w:t>
      </w:r>
      <w:r w:rsidR="00E5556C" w:rsidRPr="00E07056">
        <w:rPr>
          <w:rFonts w:ascii="Arial" w:hAnsi="Arial" w:cs="Arial"/>
          <w:sz w:val="24"/>
          <w:szCs w:val="24"/>
          <w:lang w:val="en-GB"/>
        </w:rPr>
        <w:t>etainees</w:t>
      </w:r>
      <w:r>
        <w:rPr>
          <w:rFonts w:ascii="Arial" w:hAnsi="Arial" w:cs="Arial"/>
          <w:sz w:val="24"/>
          <w:szCs w:val="24"/>
          <w:lang w:val="en-GB"/>
        </w:rPr>
        <w:t xml:space="preserve"> (RDs)</w:t>
      </w:r>
      <w:r w:rsidR="00E5556C" w:rsidRPr="00E07056">
        <w:rPr>
          <w:rFonts w:ascii="Arial" w:hAnsi="Arial" w:cs="Arial"/>
          <w:sz w:val="24"/>
          <w:szCs w:val="24"/>
          <w:lang w:val="en-GB"/>
        </w:rPr>
        <w:t xml:space="preserve"> were </w:t>
      </w:r>
      <w:r>
        <w:rPr>
          <w:rFonts w:ascii="Arial" w:hAnsi="Arial" w:cs="Arial"/>
          <w:sz w:val="24"/>
          <w:szCs w:val="24"/>
          <w:lang w:val="en-GB"/>
        </w:rPr>
        <w:t xml:space="preserve">incarcerated by </w:t>
      </w:r>
      <w:r w:rsidRPr="00E07056">
        <w:rPr>
          <w:rFonts w:ascii="Arial" w:hAnsi="Arial" w:cs="Arial"/>
          <w:sz w:val="24"/>
          <w:szCs w:val="24"/>
          <w:lang w:val="en-GB"/>
        </w:rPr>
        <w:t>31 December 2019</w:t>
      </w:r>
      <w:r>
        <w:rPr>
          <w:rFonts w:ascii="Arial" w:hAnsi="Arial" w:cs="Arial"/>
          <w:sz w:val="24"/>
          <w:szCs w:val="24"/>
          <w:lang w:val="en-GB"/>
        </w:rPr>
        <w:t xml:space="preserve"> </w:t>
      </w:r>
      <w:r w:rsidR="00E5556C" w:rsidRPr="00E07056">
        <w:rPr>
          <w:rFonts w:ascii="Arial" w:hAnsi="Arial" w:cs="Arial"/>
          <w:sz w:val="24"/>
          <w:szCs w:val="24"/>
          <w:lang w:val="en-GB"/>
        </w:rPr>
        <w:t xml:space="preserve">as per daily unlock </w:t>
      </w:r>
      <w:r w:rsidR="00F85910">
        <w:rPr>
          <w:rFonts w:ascii="Arial" w:hAnsi="Arial" w:cs="Arial"/>
          <w:sz w:val="24"/>
          <w:szCs w:val="24"/>
          <w:lang w:val="en-GB"/>
        </w:rPr>
        <w:t xml:space="preserve">of 01 January 2020. </w:t>
      </w:r>
    </w:p>
    <w:p w:rsidR="00E5556C" w:rsidRPr="00E07056" w:rsidRDefault="00E5556C" w:rsidP="00E07056">
      <w:pPr>
        <w:spacing w:line="360" w:lineRule="auto"/>
        <w:jc w:val="both"/>
        <w:rPr>
          <w:rFonts w:ascii="Arial" w:hAnsi="Arial" w:cs="Arial"/>
          <w:sz w:val="24"/>
          <w:szCs w:val="24"/>
          <w:lang w:val="en-GB"/>
        </w:rPr>
      </w:pPr>
    </w:p>
    <w:p w:rsidR="00C1247D" w:rsidRPr="00E07056" w:rsidRDefault="00332B93" w:rsidP="00E07056">
      <w:pPr>
        <w:pStyle w:val="ListParagraph"/>
        <w:numPr>
          <w:ilvl w:val="0"/>
          <w:numId w:val="2"/>
        </w:numPr>
        <w:spacing w:line="360" w:lineRule="auto"/>
        <w:ind w:hanging="720"/>
        <w:jc w:val="both"/>
        <w:rPr>
          <w:rFonts w:ascii="Arial" w:hAnsi="Arial" w:cs="Arial"/>
          <w:sz w:val="24"/>
          <w:szCs w:val="24"/>
          <w:lang w:val="en-GB"/>
        </w:rPr>
      </w:pPr>
      <w:r w:rsidRPr="00E07056">
        <w:rPr>
          <w:rFonts w:ascii="Arial" w:hAnsi="Arial" w:cs="Arial"/>
          <w:sz w:val="24"/>
          <w:szCs w:val="24"/>
          <w:lang w:val="en-GB"/>
        </w:rPr>
        <w:lastRenderedPageBreak/>
        <w:t>The strategies that are implemented by the department to reduce the overcrowding of remand detainees are as follows:</w:t>
      </w:r>
    </w:p>
    <w:p w:rsidR="00905918" w:rsidRPr="00E07056" w:rsidRDefault="00905918" w:rsidP="00E07056">
      <w:pPr>
        <w:pStyle w:val="ListParagraph"/>
        <w:numPr>
          <w:ilvl w:val="0"/>
          <w:numId w:val="1"/>
        </w:numPr>
        <w:spacing w:line="360" w:lineRule="auto"/>
        <w:ind w:left="1440" w:hanging="540"/>
        <w:jc w:val="both"/>
        <w:rPr>
          <w:rFonts w:ascii="Arial" w:hAnsi="Arial" w:cs="Arial"/>
          <w:sz w:val="24"/>
          <w:szCs w:val="24"/>
          <w:lang w:val="en-GB"/>
        </w:rPr>
      </w:pPr>
      <w:r w:rsidRPr="00E07056">
        <w:rPr>
          <w:rFonts w:ascii="Arial" w:hAnsi="Arial" w:cs="Arial"/>
          <w:i/>
          <w:sz w:val="24"/>
          <w:szCs w:val="24"/>
          <w:lang w:val="en-GB"/>
        </w:rPr>
        <w:t>Bail Protocol Section 63(A) (Criminal Procedure Act - CPA):</w:t>
      </w:r>
      <w:r w:rsidRPr="00E07056">
        <w:rPr>
          <w:rFonts w:ascii="Arial" w:hAnsi="Arial" w:cs="Arial"/>
          <w:sz w:val="24"/>
          <w:szCs w:val="24"/>
          <w:lang w:val="en-GB"/>
        </w:rPr>
        <w:t xml:space="preserve">  It allows the Head of the Centre to submit an application to court for review of bail of RDs who have been charged with Schedule 7 crimes.  The criteria for submitting an application is when a particular centre/detention facility is reaching such proportions that it constitutes a material and imminent threat to the human dignity, physical health or safety of remand detainees.  These must be the lower court cases (Regional and Magistrate courts).  The po</w:t>
      </w:r>
      <w:r w:rsidR="00F85910">
        <w:rPr>
          <w:rFonts w:ascii="Arial" w:hAnsi="Arial" w:cs="Arial"/>
          <w:sz w:val="24"/>
          <w:szCs w:val="24"/>
          <w:lang w:val="en-GB"/>
        </w:rPr>
        <w:t>ssible outcomes are as follows:</w:t>
      </w:r>
    </w:p>
    <w:p w:rsidR="00905918" w:rsidRPr="00E07056" w:rsidRDefault="00905918" w:rsidP="00E07056">
      <w:pPr>
        <w:spacing w:after="0" w:line="360" w:lineRule="auto"/>
        <w:ind w:left="2070" w:hanging="360"/>
        <w:jc w:val="both"/>
        <w:rPr>
          <w:rFonts w:ascii="Arial" w:hAnsi="Arial" w:cs="Arial"/>
          <w:sz w:val="24"/>
          <w:szCs w:val="24"/>
          <w:lang w:val="en-GB"/>
        </w:rPr>
      </w:pPr>
      <w:r w:rsidRPr="00E07056">
        <w:rPr>
          <w:rFonts w:ascii="Arial" w:hAnsi="Arial" w:cs="Arial"/>
          <w:sz w:val="24"/>
          <w:szCs w:val="24"/>
          <w:lang w:val="en-GB"/>
        </w:rPr>
        <w:t>•</w:t>
      </w:r>
      <w:r w:rsidRPr="00E07056">
        <w:rPr>
          <w:rFonts w:ascii="Arial" w:hAnsi="Arial" w:cs="Arial"/>
          <w:sz w:val="24"/>
          <w:szCs w:val="24"/>
          <w:lang w:val="en-GB"/>
        </w:rPr>
        <w:tab/>
        <w:t>Release of the RD</w:t>
      </w:r>
      <w:r w:rsidR="00F85910">
        <w:rPr>
          <w:rFonts w:ascii="Arial" w:hAnsi="Arial" w:cs="Arial"/>
          <w:sz w:val="24"/>
          <w:szCs w:val="24"/>
          <w:lang w:val="en-GB"/>
        </w:rPr>
        <w:t>;</w:t>
      </w:r>
    </w:p>
    <w:p w:rsidR="00905918" w:rsidRPr="00E07056" w:rsidRDefault="00905918" w:rsidP="00E07056">
      <w:pPr>
        <w:spacing w:after="0" w:line="360" w:lineRule="auto"/>
        <w:ind w:left="2070" w:hanging="360"/>
        <w:jc w:val="both"/>
        <w:rPr>
          <w:rFonts w:ascii="Arial" w:hAnsi="Arial" w:cs="Arial"/>
          <w:sz w:val="24"/>
          <w:szCs w:val="24"/>
          <w:lang w:val="en-GB"/>
        </w:rPr>
      </w:pPr>
      <w:r w:rsidRPr="00E07056">
        <w:rPr>
          <w:rFonts w:ascii="Arial" w:hAnsi="Arial" w:cs="Arial"/>
          <w:sz w:val="24"/>
          <w:szCs w:val="24"/>
          <w:lang w:val="en-GB"/>
        </w:rPr>
        <w:t>•</w:t>
      </w:r>
      <w:r w:rsidRPr="00E07056">
        <w:rPr>
          <w:rFonts w:ascii="Arial" w:hAnsi="Arial" w:cs="Arial"/>
          <w:sz w:val="24"/>
          <w:szCs w:val="24"/>
          <w:lang w:val="en-GB"/>
        </w:rPr>
        <w:tab/>
        <w:t>Release an</w:t>
      </w:r>
      <w:r w:rsidR="00F85910">
        <w:rPr>
          <w:rFonts w:ascii="Arial" w:hAnsi="Arial" w:cs="Arial"/>
          <w:sz w:val="24"/>
          <w:szCs w:val="24"/>
          <w:lang w:val="en-GB"/>
        </w:rPr>
        <w:t>d placement on warning;</w:t>
      </w:r>
      <w:r w:rsidRPr="00E07056">
        <w:rPr>
          <w:rFonts w:ascii="Arial" w:hAnsi="Arial" w:cs="Arial"/>
          <w:sz w:val="24"/>
          <w:szCs w:val="24"/>
          <w:lang w:val="en-GB"/>
        </w:rPr>
        <w:t xml:space="preserve"> </w:t>
      </w:r>
    </w:p>
    <w:p w:rsidR="00905918" w:rsidRPr="00E07056" w:rsidRDefault="00905918" w:rsidP="00E07056">
      <w:pPr>
        <w:spacing w:after="0" w:line="360" w:lineRule="auto"/>
        <w:ind w:left="2070" w:hanging="360"/>
        <w:jc w:val="both"/>
        <w:rPr>
          <w:rFonts w:ascii="Arial" w:hAnsi="Arial" w:cs="Arial"/>
          <w:sz w:val="24"/>
          <w:szCs w:val="24"/>
          <w:lang w:val="en-GB"/>
        </w:rPr>
      </w:pPr>
      <w:r w:rsidRPr="00E07056">
        <w:rPr>
          <w:rFonts w:ascii="Arial" w:hAnsi="Arial" w:cs="Arial"/>
          <w:sz w:val="24"/>
          <w:szCs w:val="24"/>
          <w:lang w:val="en-GB"/>
        </w:rPr>
        <w:t>•</w:t>
      </w:r>
      <w:r w:rsidRPr="00E07056">
        <w:rPr>
          <w:rFonts w:ascii="Arial" w:hAnsi="Arial" w:cs="Arial"/>
          <w:sz w:val="24"/>
          <w:szCs w:val="24"/>
          <w:lang w:val="en-GB"/>
        </w:rPr>
        <w:tab/>
        <w:t>Placement under s62(f):  Supervision by a correctional official</w:t>
      </w:r>
      <w:r w:rsidR="00F85910">
        <w:rPr>
          <w:rFonts w:ascii="Arial" w:hAnsi="Arial" w:cs="Arial"/>
          <w:sz w:val="24"/>
          <w:szCs w:val="24"/>
          <w:lang w:val="en-GB"/>
        </w:rPr>
        <w:t>;</w:t>
      </w:r>
      <w:r w:rsidRPr="00E07056">
        <w:rPr>
          <w:rFonts w:ascii="Arial" w:hAnsi="Arial" w:cs="Arial"/>
          <w:sz w:val="24"/>
          <w:szCs w:val="24"/>
          <w:lang w:val="en-GB"/>
        </w:rPr>
        <w:t xml:space="preserve"> </w:t>
      </w:r>
    </w:p>
    <w:p w:rsidR="00905918" w:rsidRPr="00E07056" w:rsidRDefault="00905918" w:rsidP="00E07056">
      <w:pPr>
        <w:spacing w:after="0" w:line="360" w:lineRule="auto"/>
        <w:ind w:left="2070" w:hanging="360"/>
        <w:jc w:val="both"/>
        <w:rPr>
          <w:rFonts w:ascii="Arial" w:hAnsi="Arial" w:cs="Arial"/>
          <w:sz w:val="24"/>
          <w:szCs w:val="24"/>
          <w:lang w:val="en-GB"/>
        </w:rPr>
      </w:pPr>
      <w:r w:rsidRPr="00E07056">
        <w:rPr>
          <w:rFonts w:ascii="Arial" w:hAnsi="Arial" w:cs="Arial"/>
          <w:sz w:val="24"/>
          <w:szCs w:val="24"/>
          <w:lang w:val="en-GB"/>
        </w:rPr>
        <w:t>•</w:t>
      </w:r>
      <w:r w:rsidRPr="00E07056">
        <w:rPr>
          <w:rFonts w:ascii="Arial" w:hAnsi="Arial" w:cs="Arial"/>
          <w:sz w:val="24"/>
          <w:szCs w:val="24"/>
          <w:lang w:val="en-GB"/>
        </w:rPr>
        <w:tab/>
      </w:r>
      <w:r w:rsidR="00F85910">
        <w:rPr>
          <w:rFonts w:ascii="Arial" w:hAnsi="Arial" w:cs="Arial"/>
          <w:sz w:val="24"/>
          <w:szCs w:val="24"/>
          <w:lang w:val="en-GB"/>
        </w:rPr>
        <w:t>Reduction of the amount of bail;</w:t>
      </w:r>
    </w:p>
    <w:p w:rsidR="00905918" w:rsidRPr="00E07056" w:rsidRDefault="00905918" w:rsidP="00E07056">
      <w:pPr>
        <w:spacing w:after="0" w:line="360" w:lineRule="auto"/>
        <w:ind w:left="2070" w:hanging="360"/>
        <w:jc w:val="both"/>
        <w:rPr>
          <w:rFonts w:ascii="Arial" w:hAnsi="Arial" w:cs="Arial"/>
          <w:sz w:val="24"/>
          <w:szCs w:val="24"/>
          <w:lang w:val="en-GB"/>
        </w:rPr>
      </w:pPr>
      <w:r w:rsidRPr="00E07056">
        <w:rPr>
          <w:rFonts w:ascii="Arial" w:hAnsi="Arial" w:cs="Arial"/>
          <w:sz w:val="24"/>
          <w:szCs w:val="24"/>
          <w:lang w:val="en-GB"/>
        </w:rPr>
        <w:t>•</w:t>
      </w:r>
      <w:r w:rsidRPr="00E07056">
        <w:rPr>
          <w:rFonts w:ascii="Arial" w:hAnsi="Arial" w:cs="Arial"/>
          <w:sz w:val="24"/>
          <w:szCs w:val="24"/>
          <w:lang w:val="en-GB"/>
        </w:rPr>
        <w:tab/>
        <w:t>Placement in a secure care facilities</w:t>
      </w:r>
      <w:r w:rsidR="00F85910">
        <w:rPr>
          <w:rFonts w:ascii="Arial" w:hAnsi="Arial" w:cs="Arial"/>
          <w:sz w:val="24"/>
          <w:szCs w:val="24"/>
          <w:lang w:val="en-GB"/>
        </w:rPr>
        <w:t>; and</w:t>
      </w:r>
    </w:p>
    <w:p w:rsidR="00905918" w:rsidRPr="00E07056" w:rsidRDefault="00905918" w:rsidP="00E07056">
      <w:pPr>
        <w:spacing w:after="0" w:line="360" w:lineRule="auto"/>
        <w:ind w:left="2070" w:hanging="360"/>
        <w:jc w:val="both"/>
        <w:rPr>
          <w:rFonts w:ascii="Arial" w:hAnsi="Arial" w:cs="Arial"/>
          <w:sz w:val="24"/>
          <w:szCs w:val="24"/>
          <w:lang w:val="en-GB"/>
        </w:rPr>
      </w:pPr>
      <w:r w:rsidRPr="00E07056">
        <w:rPr>
          <w:rFonts w:ascii="Arial" w:hAnsi="Arial" w:cs="Arial"/>
          <w:sz w:val="24"/>
          <w:szCs w:val="24"/>
          <w:lang w:val="en-GB"/>
        </w:rPr>
        <w:t>•</w:t>
      </w:r>
      <w:r w:rsidRPr="00E07056">
        <w:rPr>
          <w:rFonts w:ascii="Arial" w:hAnsi="Arial" w:cs="Arial"/>
          <w:sz w:val="24"/>
          <w:szCs w:val="24"/>
          <w:lang w:val="en-GB"/>
        </w:rPr>
        <w:tab/>
        <w:t>Decline to review bail (Unsuccessful application)</w:t>
      </w:r>
    </w:p>
    <w:p w:rsidR="00905918" w:rsidRPr="00E07056" w:rsidRDefault="00905918" w:rsidP="00F85910">
      <w:pPr>
        <w:spacing w:after="0" w:line="240" w:lineRule="auto"/>
        <w:jc w:val="both"/>
        <w:rPr>
          <w:rFonts w:ascii="Arial" w:hAnsi="Arial" w:cs="Arial"/>
          <w:sz w:val="24"/>
          <w:szCs w:val="24"/>
          <w:lang w:val="en-GB"/>
        </w:rPr>
      </w:pPr>
    </w:p>
    <w:p w:rsidR="00905918" w:rsidRPr="00E07056" w:rsidRDefault="00905918" w:rsidP="00F85910">
      <w:pPr>
        <w:pStyle w:val="ListParagraph"/>
        <w:numPr>
          <w:ilvl w:val="0"/>
          <w:numId w:val="1"/>
        </w:numPr>
        <w:spacing w:after="0" w:line="360" w:lineRule="auto"/>
        <w:ind w:left="1440" w:hanging="540"/>
        <w:jc w:val="both"/>
        <w:rPr>
          <w:rFonts w:ascii="Arial" w:hAnsi="Arial" w:cs="Arial"/>
          <w:sz w:val="24"/>
          <w:szCs w:val="24"/>
          <w:lang w:val="en-GB"/>
        </w:rPr>
      </w:pPr>
      <w:r w:rsidRPr="00E07056">
        <w:rPr>
          <w:rFonts w:ascii="Arial" w:hAnsi="Arial" w:cs="Arial"/>
          <w:i/>
          <w:sz w:val="24"/>
          <w:szCs w:val="24"/>
          <w:lang w:val="en-GB"/>
        </w:rPr>
        <w:t>Section 63(1) of the Criminal Procedure Act:</w:t>
      </w:r>
      <w:r w:rsidRPr="00E07056">
        <w:rPr>
          <w:rFonts w:ascii="Arial" w:hAnsi="Arial" w:cs="Arial"/>
          <w:sz w:val="24"/>
          <w:szCs w:val="24"/>
          <w:lang w:val="en-GB"/>
        </w:rPr>
        <w:t xml:space="preserve">  This section allows the RD or the prosecutor to approach the court for a review of bail. All the RDs with bail qualify for bail review, however DCS cannot initiate the process without the permission of the RD.</w:t>
      </w:r>
    </w:p>
    <w:p w:rsidR="00905918" w:rsidRPr="00E07056" w:rsidRDefault="00905918" w:rsidP="00F85910">
      <w:pPr>
        <w:spacing w:after="0" w:line="240" w:lineRule="auto"/>
        <w:ind w:left="1440" w:hanging="540"/>
        <w:jc w:val="both"/>
        <w:rPr>
          <w:rFonts w:ascii="Arial" w:hAnsi="Arial" w:cs="Arial"/>
          <w:sz w:val="24"/>
          <w:szCs w:val="24"/>
          <w:lang w:val="en-GB"/>
        </w:rPr>
      </w:pPr>
    </w:p>
    <w:p w:rsidR="00905918" w:rsidRPr="00E07056" w:rsidRDefault="00905918" w:rsidP="00E07056">
      <w:pPr>
        <w:pStyle w:val="ListParagraph"/>
        <w:numPr>
          <w:ilvl w:val="0"/>
          <w:numId w:val="1"/>
        </w:numPr>
        <w:spacing w:line="360" w:lineRule="auto"/>
        <w:ind w:left="1440" w:hanging="540"/>
        <w:jc w:val="both"/>
        <w:rPr>
          <w:rFonts w:ascii="Arial" w:hAnsi="Arial" w:cs="Arial"/>
          <w:sz w:val="24"/>
          <w:szCs w:val="24"/>
          <w:lang w:val="en-GB"/>
        </w:rPr>
      </w:pPr>
      <w:r w:rsidRPr="00E07056">
        <w:rPr>
          <w:rFonts w:ascii="Arial" w:hAnsi="Arial" w:cs="Arial"/>
          <w:i/>
          <w:sz w:val="24"/>
          <w:szCs w:val="24"/>
          <w:lang w:val="en-GB"/>
        </w:rPr>
        <w:t>Plea Bargaining Section 105 (CPA):</w:t>
      </w:r>
      <w:r w:rsidRPr="00E07056">
        <w:rPr>
          <w:rFonts w:ascii="Arial" w:hAnsi="Arial" w:cs="Arial"/>
          <w:sz w:val="24"/>
          <w:szCs w:val="24"/>
          <w:lang w:val="en-GB"/>
        </w:rPr>
        <w:t xml:space="preserve">  DCS promotes the use of plea bargaining, however the agreement for entering into Plea Bargaining is between the RD, the Legal representative and the Prosecutor.</w:t>
      </w:r>
    </w:p>
    <w:p w:rsidR="00905918" w:rsidRPr="00E07056" w:rsidRDefault="00905918" w:rsidP="00F85910">
      <w:pPr>
        <w:pStyle w:val="ListParagraph"/>
        <w:spacing w:line="240" w:lineRule="auto"/>
        <w:ind w:left="1440" w:hanging="540"/>
        <w:jc w:val="both"/>
        <w:rPr>
          <w:rFonts w:ascii="Arial" w:hAnsi="Arial" w:cs="Arial"/>
          <w:sz w:val="24"/>
          <w:szCs w:val="24"/>
          <w:lang w:val="en-GB"/>
        </w:rPr>
      </w:pPr>
    </w:p>
    <w:p w:rsidR="00332B93" w:rsidRPr="00E07056" w:rsidRDefault="00905918" w:rsidP="00E07056">
      <w:pPr>
        <w:pStyle w:val="ListParagraph"/>
        <w:numPr>
          <w:ilvl w:val="0"/>
          <w:numId w:val="1"/>
        </w:numPr>
        <w:spacing w:line="360" w:lineRule="auto"/>
        <w:ind w:left="1440" w:hanging="540"/>
        <w:jc w:val="both"/>
        <w:rPr>
          <w:rFonts w:ascii="Arial" w:hAnsi="Arial" w:cs="Arial"/>
          <w:sz w:val="24"/>
          <w:szCs w:val="24"/>
          <w:lang w:val="en-GB"/>
        </w:rPr>
      </w:pPr>
      <w:r w:rsidRPr="00E07056">
        <w:rPr>
          <w:rFonts w:ascii="Arial" w:hAnsi="Arial" w:cs="Arial"/>
          <w:i/>
          <w:sz w:val="24"/>
          <w:szCs w:val="24"/>
          <w:lang w:val="en-GB"/>
        </w:rPr>
        <w:t>Section 49G of the Correctional Services Act:</w:t>
      </w:r>
      <w:r w:rsidRPr="00E07056">
        <w:rPr>
          <w:rFonts w:ascii="Arial" w:hAnsi="Arial" w:cs="Arial"/>
          <w:sz w:val="24"/>
          <w:szCs w:val="24"/>
          <w:lang w:val="en-GB"/>
        </w:rPr>
        <w:t xml:space="preserve">  The section makes provision for the DCS to refer the RDs to court before completing a period of two years for consideration of their detention and thereafter annually if the RD remains in detention after the initial referral. The court will utilise options highlighted in section 63A of the CPA when considering the application from DCS.</w:t>
      </w:r>
    </w:p>
    <w:p w:rsidR="00905918" w:rsidRPr="00E07056" w:rsidRDefault="00905918" w:rsidP="00E07056">
      <w:pPr>
        <w:pStyle w:val="ListParagraph"/>
        <w:spacing w:line="360" w:lineRule="auto"/>
        <w:ind w:left="1440" w:hanging="540"/>
        <w:jc w:val="both"/>
        <w:rPr>
          <w:rFonts w:ascii="Arial" w:hAnsi="Arial" w:cs="Arial"/>
          <w:sz w:val="24"/>
          <w:szCs w:val="24"/>
          <w:lang w:val="en-GB"/>
        </w:rPr>
      </w:pPr>
    </w:p>
    <w:p w:rsidR="00A8349F" w:rsidRPr="00E07056" w:rsidRDefault="00905918" w:rsidP="00E07056">
      <w:pPr>
        <w:spacing w:line="360" w:lineRule="auto"/>
        <w:jc w:val="both"/>
        <w:rPr>
          <w:rFonts w:ascii="Arial" w:hAnsi="Arial" w:cs="Arial"/>
          <w:sz w:val="24"/>
          <w:szCs w:val="24"/>
          <w:lang w:val="en-GB"/>
        </w:rPr>
      </w:pPr>
      <w:r w:rsidRPr="00E07056">
        <w:rPr>
          <w:rFonts w:ascii="Arial" w:hAnsi="Arial" w:cs="Arial"/>
          <w:sz w:val="24"/>
          <w:szCs w:val="24"/>
          <w:lang w:val="en-GB"/>
        </w:rPr>
        <w:t>While the department implements the strategies for reducing the population of</w:t>
      </w:r>
      <w:r w:rsidR="00E5556C" w:rsidRPr="00E07056">
        <w:rPr>
          <w:rFonts w:ascii="Arial" w:hAnsi="Arial" w:cs="Arial"/>
          <w:sz w:val="24"/>
          <w:szCs w:val="24"/>
          <w:lang w:val="en-GB"/>
        </w:rPr>
        <w:t xml:space="preserve"> remand detainees, it </w:t>
      </w:r>
      <w:r w:rsidR="00F85910">
        <w:rPr>
          <w:rFonts w:ascii="Arial" w:hAnsi="Arial" w:cs="Arial"/>
          <w:sz w:val="24"/>
          <w:szCs w:val="24"/>
          <w:lang w:val="en-GB"/>
        </w:rPr>
        <w:t xml:space="preserve">should be noted that </w:t>
      </w:r>
      <w:r w:rsidRPr="00E07056">
        <w:rPr>
          <w:rFonts w:ascii="Arial" w:hAnsi="Arial" w:cs="Arial"/>
          <w:sz w:val="24"/>
          <w:szCs w:val="24"/>
          <w:lang w:val="en-GB"/>
        </w:rPr>
        <w:t xml:space="preserve">the drivers of the population are beyond the control of the Department of Correctional Services. </w:t>
      </w:r>
      <w:r w:rsidR="00F85910">
        <w:rPr>
          <w:rFonts w:ascii="Arial" w:hAnsi="Arial" w:cs="Arial"/>
          <w:sz w:val="24"/>
          <w:szCs w:val="24"/>
          <w:lang w:val="en-GB"/>
        </w:rPr>
        <w:t xml:space="preserve"> </w:t>
      </w:r>
      <w:r w:rsidRPr="00E07056">
        <w:rPr>
          <w:rFonts w:ascii="Arial" w:hAnsi="Arial" w:cs="Arial"/>
          <w:sz w:val="24"/>
          <w:szCs w:val="24"/>
          <w:lang w:val="en-GB"/>
        </w:rPr>
        <w:t xml:space="preserve">The key drivers are the use of pre-trial detention by courts and the increasing trend in serious crimes. </w:t>
      </w:r>
      <w:r w:rsidR="00F85910">
        <w:rPr>
          <w:rFonts w:ascii="Arial" w:hAnsi="Arial" w:cs="Arial"/>
          <w:sz w:val="24"/>
          <w:szCs w:val="24"/>
          <w:lang w:val="en-GB"/>
        </w:rPr>
        <w:t xml:space="preserve"> </w:t>
      </w:r>
      <w:r w:rsidRPr="00E07056">
        <w:rPr>
          <w:rFonts w:ascii="Arial" w:hAnsi="Arial" w:cs="Arial"/>
          <w:sz w:val="24"/>
          <w:szCs w:val="24"/>
          <w:lang w:val="en-GB"/>
        </w:rPr>
        <w:t xml:space="preserve">The increase in serious crimes is closely related to an increase in the use of pre-trial detention by courts without the option of bail. </w:t>
      </w:r>
      <w:r w:rsidR="00F85910">
        <w:rPr>
          <w:rFonts w:ascii="Arial" w:hAnsi="Arial" w:cs="Arial"/>
          <w:sz w:val="24"/>
          <w:szCs w:val="24"/>
          <w:lang w:val="en-GB"/>
        </w:rPr>
        <w:t xml:space="preserve"> </w:t>
      </w:r>
      <w:r w:rsidRPr="00E07056">
        <w:rPr>
          <w:rFonts w:ascii="Arial" w:hAnsi="Arial" w:cs="Arial"/>
          <w:sz w:val="24"/>
          <w:szCs w:val="24"/>
          <w:lang w:val="en-GB"/>
        </w:rPr>
        <w:t>Other drivers are the number of admissions received from courts and the length of stay which are beyond the control of institutions respons</w:t>
      </w:r>
      <w:r w:rsidR="00A8349F" w:rsidRPr="00E07056">
        <w:rPr>
          <w:rFonts w:ascii="Arial" w:hAnsi="Arial" w:cs="Arial"/>
          <w:sz w:val="24"/>
          <w:szCs w:val="24"/>
          <w:lang w:val="en-GB"/>
        </w:rPr>
        <w:t xml:space="preserve">ible for the detention of RDs. </w:t>
      </w:r>
    </w:p>
    <w:p w:rsidR="00332B93" w:rsidRDefault="00A8349F" w:rsidP="00E07056">
      <w:pPr>
        <w:spacing w:line="360" w:lineRule="auto"/>
        <w:jc w:val="both"/>
        <w:rPr>
          <w:rFonts w:ascii="Arial" w:hAnsi="Arial" w:cs="Arial"/>
          <w:sz w:val="24"/>
          <w:szCs w:val="24"/>
          <w:lang w:val="en-GB"/>
        </w:rPr>
      </w:pPr>
      <w:r w:rsidRPr="00E07056">
        <w:rPr>
          <w:rFonts w:ascii="Arial" w:hAnsi="Arial" w:cs="Arial"/>
          <w:sz w:val="24"/>
          <w:szCs w:val="24"/>
          <w:lang w:val="en-GB"/>
        </w:rPr>
        <w:t xml:space="preserve">Other </w:t>
      </w:r>
      <w:r w:rsidR="009A2C51" w:rsidRPr="00E07056">
        <w:rPr>
          <w:rFonts w:ascii="Arial" w:hAnsi="Arial" w:cs="Arial"/>
          <w:sz w:val="24"/>
          <w:szCs w:val="24"/>
          <w:lang w:val="en-GB"/>
        </w:rPr>
        <w:t xml:space="preserve">factors </w:t>
      </w:r>
      <w:r w:rsidR="00F85910">
        <w:rPr>
          <w:rFonts w:ascii="Arial" w:hAnsi="Arial" w:cs="Arial"/>
          <w:sz w:val="24"/>
          <w:szCs w:val="24"/>
          <w:lang w:val="en-GB"/>
        </w:rPr>
        <w:t>include</w:t>
      </w:r>
      <w:r w:rsidR="009D0CCC">
        <w:rPr>
          <w:rFonts w:ascii="Arial" w:hAnsi="Arial" w:cs="Arial"/>
          <w:sz w:val="24"/>
          <w:szCs w:val="24"/>
          <w:lang w:val="en-GB"/>
        </w:rPr>
        <w:t>,</w:t>
      </w:r>
      <w:r w:rsidR="00F85910">
        <w:rPr>
          <w:rFonts w:ascii="Arial" w:hAnsi="Arial" w:cs="Arial"/>
          <w:sz w:val="24"/>
          <w:szCs w:val="24"/>
          <w:lang w:val="en-GB"/>
        </w:rPr>
        <w:t xml:space="preserve"> </w:t>
      </w:r>
      <w:r w:rsidR="00905918" w:rsidRPr="00E07056">
        <w:rPr>
          <w:rFonts w:ascii="Arial" w:hAnsi="Arial" w:cs="Arial"/>
          <w:sz w:val="24"/>
          <w:szCs w:val="24"/>
          <w:lang w:val="en-GB"/>
        </w:rPr>
        <w:t>failure to pay bail by those few RDs who have been awarded bail</w:t>
      </w:r>
      <w:r w:rsidRPr="00E07056">
        <w:rPr>
          <w:rFonts w:ascii="Arial" w:hAnsi="Arial" w:cs="Arial"/>
          <w:sz w:val="24"/>
          <w:szCs w:val="24"/>
          <w:lang w:val="en-GB"/>
        </w:rPr>
        <w:t xml:space="preserve">, </w:t>
      </w:r>
      <w:r w:rsidR="00905918" w:rsidRPr="00E07056">
        <w:rPr>
          <w:rFonts w:ascii="Arial" w:hAnsi="Arial" w:cs="Arial"/>
          <w:sz w:val="24"/>
          <w:szCs w:val="24"/>
          <w:lang w:val="en-GB"/>
        </w:rPr>
        <w:t xml:space="preserve">delays in </w:t>
      </w:r>
      <w:r w:rsidR="00F85910">
        <w:rPr>
          <w:rFonts w:ascii="Arial" w:hAnsi="Arial" w:cs="Arial"/>
          <w:sz w:val="24"/>
          <w:szCs w:val="24"/>
          <w:lang w:val="en-GB"/>
        </w:rPr>
        <w:t>finalis</w:t>
      </w:r>
      <w:r w:rsidRPr="00E07056">
        <w:rPr>
          <w:rFonts w:ascii="Arial" w:hAnsi="Arial" w:cs="Arial"/>
          <w:sz w:val="24"/>
          <w:szCs w:val="24"/>
          <w:lang w:val="en-GB"/>
        </w:rPr>
        <w:t>ing</w:t>
      </w:r>
      <w:r w:rsidR="00905918" w:rsidRPr="00E07056">
        <w:rPr>
          <w:rFonts w:ascii="Arial" w:hAnsi="Arial" w:cs="Arial"/>
          <w:sz w:val="24"/>
          <w:szCs w:val="24"/>
          <w:lang w:val="en-GB"/>
        </w:rPr>
        <w:t xml:space="preserve"> court cases de</w:t>
      </w:r>
      <w:r w:rsidR="009D0CCC">
        <w:rPr>
          <w:rFonts w:ascii="Arial" w:hAnsi="Arial" w:cs="Arial"/>
          <w:sz w:val="24"/>
          <w:szCs w:val="24"/>
          <w:lang w:val="en-GB"/>
        </w:rPr>
        <w:t>spite several court appearances.  L</w:t>
      </w:r>
      <w:r w:rsidRPr="00E07056">
        <w:rPr>
          <w:rFonts w:ascii="Arial" w:hAnsi="Arial" w:cs="Arial"/>
          <w:sz w:val="24"/>
          <w:szCs w:val="24"/>
          <w:lang w:val="en-GB"/>
        </w:rPr>
        <w:t xml:space="preserve">arge number </w:t>
      </w:r>
      <w:r w:rsidR="009D0CCC">
        <w:rPr>
          <w:rFonts w:ascii="Arial" w:hAnsi="Arial" w:cs="Arial"/>
          <w:sz w:val="24"/>
          <w:szCs w:val="24"/>
          <w:lang w:val="en-GB"/>
        </w:rPr>
        <w:t xml:space="preserve">(80%) </w:t>
      </w:r>
      <w:r w:rsidRPr="00E07056">
        <w:rPr>
          <w:rFonts w:ascii="Arial" w:hAnsi="Arial" w:cs="Arial"/>
          <w:sz w:val="24"/>
          <w:szCs w:val="24"/>
          <w:lang w:val="en-GB"/>
        </w:rPr>
        <w:t xml:space="preserve">of </w:t>
      </w:r>
      <w:r w:rsidR="009D0CCC">
        <w:rPr>
          <w:rFonts w:ascii="Arial" w:hAnsi="Arial" w:cs="Arial"/>
          <w:sz w:val="24"/>
          <w:szCs w:val="24"/>
          <w:lang w:val="en-GB"/>
        </w:rPr>
        <w:t xml:space="preserve">RDs are </w:t>
      </w:r>
      <w:r w:rsidRPr="00E07056">
        <w:rPr>
          <w:rFonts w:ascii="Arial" w:hAnsi="Arial" w:cs="Arial"/>
          <w:sz w:val="24"/>
          <w:szCs w:val="24"/>
          <w:lang w:val="en-GB"/>
        </w:rPr>
        <w:t>without bail</w:t>
      </w:r>
      <w:r w:rsidR="009D0CCC">
        <w:rPr>
          <w:rFonts w:ascii="Arial" w:hAnsi="Arial" w:cs="Arial"/>
          <w:sz w:val="24"/>
          <w:szCs w:val="24"/>
          <w:lang w:val="en-GB"/>
        </w:rPr>
        <w:t>.</w:t>
      </w:r>
    </w:p>
    <w:p w:rsidR="009D0CCC" w:rsidRPr="00E07056" w:rsidRDefault="009D0CCC" w:rsidP="00E07056">
      <w:pPr>
        <w:spacing w:line="360" w:lineRule="auto"/>
        <w:jc w:val="both"/>
        <w:rPr>
          <w:rFonts w:ascii="Arial" w:hAnsi="Arial" w:cs="Arial"/>
          <w:sz w:val="24"/>
          <w:szCs w:val="24"/>
          <w:lang w:val="en-GB"/>
        </w:rPr>
      </w:pPr>
    </w:p>
    <w:p w:rsidR="00661C85" w:rsidRPr="009D0CCC" w:rsidRDefault="009D0CCC" w:rsidP="00E07056">
      <w:pPr>
        <w:jc w:val="both"/>
        <w:rPr>
          <w:rFonts w:ascii="Arial" w:hAnsi="Arial" w:cs="Arial"/>
          <w:b/>
          <w:sz w:val="24"/>
          <w:szCs w:val="24"/>
          <w:lang w:val="en-GB"/>
        </w:rPr>
      </w:pPr>
      <w:r w:rsidRPr="009D0CCC">
        <w:rPr>
          <w:rFonts w:ascii="Arial" w:hAnsi="Arial" w:cs="Arial"/>
          <w:b/>
          <w:sz w:val="24"/>
          <w:szCs w:val="24"/>
          <w:lang w:val="en-GB"/>
        </w:rPr>
        <w:t>END</w:t>
      </w:r>
    </w:p>
    <w:sectPr w:rsidR="00661C85" w:rsidRPr="009D0C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9D" w:rsidRDefault="00FC3A9D" w:rsidP="00E07056">
      <w:pPr>
        <w:spacing w:after="0" w:line="240" w:lineRule="auto"/>
      </w:pPr>
      <w:r>
        <w:separator/>
      </w:r>
    </w:p>
  </w:endnote>
  <w:endnote w:type="continuationSeparator" w:id="0">
    <w:p w:rsidR="00FC3A9D" w:rsidRDefault="00FC3A9D" w:rsidP="00E0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1410056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E07056" w:rsidRPr="00E07056" w:rsidRDefault="00E07056" w:rsidP="00E07056">
            <w:pPr>
              <w:pStyle w:val="Footer"/>
              <w:jc w:val="right"/>
              <w:rPr>
                <w:rFonts w:ascii="Arial" w:hAnsi="Arial" w:cs="Arial"/>
              </w:rPr>
            </w:pPr>
            <w:r w:rsidRPr="00E07056">
              <w:rPr>
                <w:rFonts w:ascii="Arial" w:hAnsi="Arial" w:cs="Arial"/>
              </w:rPr>
              <w:t xml:space="preserve">Page </w:t>
            </w:r>
            <w:r w:rsidRPr="00E07056">
              <w:rPr>
                <w:rFonts w:ascii="Arial" w:hAnsi="Arial" w:cs="Arial"/>
                <w:b/>
                <w:bCs/>
              </w:rPr>
              <w:fldChar w:fldCharType="begin"/>
            </w:r>
            <w:r w:rsidRPr="00E07056">
              <w:rPr>
                <w:rFonts w:ascii="Arial" w:hAnsi="Arial" w:cs="Arial"/>
                <w:b/>
                <w:bCs/>
              </w:rPr>
              <w:instrText xml:space="preserve"> PAGE </w:instrText>
            </w:r>
            <w:r w:rsidRPr="00E07056">
              <w:rPr>
                <w:rFonts w:ascii="Arial" w:hAnsi="Arial" w:cs="Arial"/>
                <w:b/>
                <w:bCs/>
              </w:rPr>
              <w:fldChar w:fldCharType="separate"/>
            </w:r>
            <w:r w:rsidR="00497E8B">
              <w:rPr>
                <w:rFonts w:ascii="Arial" w:hAnsi="Arial" w:cs="Arial"/>
                <w:b/>
                <w:bCs/>
                <w:noProof/>
              </w:rPr>
              <w:t>1</w:t>
            </w:r>
            <w:r w:rsidRPr="00E07056">
              <w:rPr>
                <w:rFonts w:ascii="Arial" w:hAnsi="Arial" w:cs="Arial"/>
                <w:b/>
                <w:bCs/>
              </w:rPr>
              <w:fldChar w:fldCharType="end"/>
            </w:r>
            <w:r w:rsidRPr="00E07056">
              <w:rPr>
                <w:rFonts w:ascii="Arial" w:hAnsi="Arial" w:cs="Arial"/>
              </w:rPr>
              <w:t xml:space="preserve"> of </w:t>
            </w:r>
            <w:r w:rsidRPr="00E07056">
              <w:rPr>
                <w:rFonts w:ascii="Arial" w:hAnsi="Arial" w:cs="Arial"/>
                <w:b/>
                <w:bCs/>
              </w:rPr>
              <w:fldChar w:fldCharType="begin"/>
            </w:r>
            <w:r w:rsidRPr="00E07056">
              <w:rPr>
                <w:rFonts w:ascii="Arial" w:hAnsi="Arial" w:cs="Arial"/>
                <w:b/>
                <w:bCs/>
              </w:rPr>
              <w:instrText xml:space="preserve"> NUMPAGES  </w:instrText>
            </w:r>
            <w:r w:rsidRPr="00E07056">
              <w:rPr>
                <w:rFonts w:ascii="Arial" w:hAnsi="Arial" w:cs="Arial"/>
                <w:b/>
                <w:bCs/>
              </w:rPr>
              <w:fldChar w:fldCharType="separate"/>
            </w:r>
            <w:r w:rsidR="00497E8B">
              <w:rPr>
                <w:rFonts w:ascii="Arial" w:hAnsi="Arial" w:cs="Arial"/>
                <w:b/>
                <w:bCs/>
                <w:noProof/>
              </w:rPr>
              <w:t>3</w:t>
            </w:r>
            <w:r w:rsidRPr="00E07056">
              <w:rPr>
                <w:rFonts w:ascii="Arial" w:hAnsi="Arial" w:cs="Arial"/>
                <w:b/>
                <w:bCs/>
              </w:rPr>
              <w:fldChar w:fldCharType="end"/>
            </w:r>
          </w:p>
        </w:sdtContent>
      </w:sdt>
    </w:sdtContent>
  </w:sdt>
  <w:p w:rsidR="00E07056" w:rsidRPr="00E07056" w:rsidRDefault="00E07056" w:rsidP="00E07056">
    <w:pPr>
      <w:pStyle w:val="Footer"/>
      <w:rPr>
        <w:rFonts w:ascii="Arial" w:hAnsi="Arial" w:cs="Arial"/>
      </w:rPr>
    </w:pPr>
    <w:r w:rsidRPr="00E07056">
      <w:rPr>
        <w:rFonts w:ascii="Arial" w:hAnsi="Arial" w:cs="Arial"/>
      </w:rPr>
      <w:t>PQ547- NW734E</w:t>
    </w:r>
  </w:p>
  <w:p w:rsidR="00E07056" w:rsidRPr="00E07056" w:rsidRDefault="00E0705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9D" w:rsidRDefault="00FC3A9D" w:rsidP="00E07056">
      <w:pPr>
        <w:spacing w:after="0" w:line="240" w:lineRule="auto"/>
      </w:pPr>
      <w:r>
        <w:separator/>
      </w:r>
    </w:p>
  </w:footnote>
  <w:footnote w:type="continuationSeparator" w:id="0">
    <w:p w:rsidR="00FC3A9D" w:rsidRDefault="00FC3A9D" w:rsidP="00E0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55E7"/>
    <w:multiLevelType w:val="hybridMultilevel"/>
    <w:tmpl w:val="8008383C"/>
    <w:lvl w:ilvl="0" w:tplc="276830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D6E08"/>
    <w:multiLevelType w:val="hybridMultilevel"/>
    <w:tmpl w:val="901ABD1C"/>
    <w:lvl w:ilvl="0" w:tplc="27683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C2B99"/>
    <w:multiLevelType w:val="hybridMultilevel"/>
    <w:tmpl w:val="9482A4DA"/>
    <w:lvl w:ilvl="0" w:tplc="276830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EA73DD"/>
    <w:multiLevelType w:val="hybridMultilevel"/>
    <w:tmpl w:val="9F9EFD0E"/>
    <w:lvl w:ilvl="0" w:tplc="1DC8F8D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85"/>
    <w:rsid w:val="000F3DBA"/>
    <w:rsid w:val="00287BE2"/>
    <w:rsid w:val="00332B93"/>
    <w:rsid w:val="00360736"/>
    <w:rsid w:val="00412B60"/>
    <w:rsid w:val="00497E8B"/>
    <w:rsid w:val="004A05A5"/>
    <w:rsid w:val="005247B5"/>
    <w:rsid w:val="0064360C"/>
    <w:rsid w:val="00657D89"/>
    <w:rsid w:val="00661C85"/>
    <w:rsid w:val="00704D1D"/>
    <w:rsid w:val="00742C9F"/>
    <w:rsid w:val="007C4F9A"/>
    <w:rsid w:val="00881172"/>
    <w:rsid w:val="008F1B8A"/>
    <w:rsid w:val="00905918"/>
    <w:rsid w:val="0094365E"/>
    <w:rsid w:val="00955E87"/>
    <w:rsid w:val="009A2C51"/>
    <w:rsid w:val="009D0CCC"/>
    <w:rsid w:val="00A4410D"/>
    <w:rsid w:val="00A8349F"/>
    <w:rsid w:val="00C1247D"/>
    <w:rsid w:val="00D63402"/>
    <w:rsid w:val="00D642BD"/>
    <w:rsid w:val="00E07056"/>
    <w:rsid w:val="00E5556C"/>
    <w:rsid w:val="00F85910"/>
    <w:rsid w:val="00FC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84181-6E44-4181-9776-D6533FAD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18"/>
    <w:pPr>
      <w:ind w:left="720"/>
      <w:contextualSpacing/>
    </w:pPr>
  </w:style>
  <w:style w:type="paragraph" w:styleId="Header">
    <w:name w:val="header"/>
    <w:basedOn w:val="Normal"/>
    <w:link w:val="HeaderChar"/>
    <w:uiPriority w:val="99"/>
    <w:unhideWhenUsed/>
    <w:rsid w:val="00E0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56"/>
  </w:style>
  <w:style w:type="paragraph" w:styleId="Footer">
    <w:name w:val="footer"/>
    <w:basedOn w:val="Normal"/>
    <w:link w:val="FooterChar"/>
    <w:uiPriority w:val="99"/>
    <w:unhideWhenUsed/>
    <w:rsid w:val="00E0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Mlomo, Vuyi</dc:creator>
  <cp:lastModifiedBy>Nikiwe Ncetezo</cp:lastModifiedBy>
  <cp:revision>2</cp:revision>
  <dcterms:created xsi:type="dcterms:W3CDTF">2020-06-09T17:50:00Z</dcterms:created>
  <dcterms:modified xsi:type="dcterms:W3CDTF">2020-06-09T17:50:00Z</dcterms:modified>
</cp:coreProperties>
</file>