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F95C19" w:rsidRDefault="004D2421" w:rsidP="00F95C19">
      <w:pPr>
        <w:spacing w:before="180" w:after="0" w:line="276" w:lineRule="auto"/>
        <w:contextualSpacing/>
        <w:jc w:val="both"/>
        <w:rPr>
          <w:rFonts w:ascii="Arial" w:eastAsia="Times New Roman" w:hAnsi="Arial" w:cs="Arial"/>
          <w:sz w:val="24"/>
          <w:szCs w:val="24"/>
          <w:lang w:val="en-GB" w:eastAsia="en-GB"/>
        </w:rPr>
      </w:pPr>
      <w:r w:rsidRPr="00F95C19">
        <w:rPr>
          <w:rFonts w:ascii="Arial" w:hAnsi="Arial" w:cs="Arial"/>
          <w:noProof/>
          <w:sz w:val="24"/>
          <w:szCs w:val="24"/>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4D2421" w:rsidRPr="00F95C19" w:rsidRDefault="004D2421" w:rsidP="00F95C19">
      <w:pPr>
        <w:spacing w:before="180" w:after="0" w:line="276" w:lineRule="auto"/>
        <w:contextualSpacing/>
        <w:jc w:val="both"/>
        <w:rPr>
          <w:rFonts w:ascii="Arial" w:eastAsia="Times New Roman" w:hAnsi="Arial" w:cs="Arial"/>
          <w:sz w:val="24"/>
          <w:szCs w:val="24"/>
          <w:lang w:val="en-GB" w:eastAsia="en-GB"/>
        </w:rPr>
      </w:pPr>
    </w:p>
    <w:p w:rsidR="00936D98" w:rsidRPr="00F95C19" w:rsidRDefault="00936D98" w:rsidP="00F95C19">
      <w:pPr>
        <w:spacing w:after="0" w:line="276" w:lineRule="auto"/>
        <w:ind w:left="720" w:hanging="720"/>
        <w:jc w:val="center"/>
        <w:outlineLvl w:val="0"/>
        <w:rPr>
          <w:rFonts w:ascii="Arial" w:hAnsi="Arial" w:cs="Arial"/>
          <w:b/>
          <w:sz w:val="24"/>
          <w:szCs w:val="24"/>
        </w:rPr>
      </w:pPr>
      <w:r w:rsidRPr="00F95C19">
        <w:rPr>
          <w:rFonts w:ascii="Arial" w:hAnsi="Arial" w:cs="Arial"/>
          <w:b/>
          <w:sz w:val="24"/>
          <w:szCs w:val="24"/>
        </w:rPr>
        <w:t>THE NATIONAL ASSEMBLY</w:t>
      </w:r>
    </w:p>
    <w:p w:rsidR="00B236EF" w:rsidRPr="00F95C19" w:rsidRDefault="00B236EF" w:rsidP="00F95C19">
      <w:pPr>
        <w:spacing w:after="0" w:line="276" w:lineRule="auto"/>
        <w:ind w:left="720" w:hanging="720"/>
        <w:jc w:val="center"/>
        <w:outlineLvl w:val="0"/>
        <w:rPr>
          <w:rFonts w:ascii="Arial" w:hAnsi="Arial" w:cs="Arial"/>
          <w:b/>
          <w:sz w:val="24"/>
          <w:szCs w:val="24"/>
        </w:rPr>
      </w:pPr>
    </w:p>
    <w:p w:rsidR="00936D98" w:rsidRPr="00F95C19" w:rsidRDefault="00936D98" w:rsidP="00F95C19">
      <w:pPr>
        <w:spacing w:after="0" w:line="276" w:lineRule="auto"/>
        <w:ind w:left="720" w:hanging="720"/>
        <w:jc w:val="center"/>
        <w:outlineLvl w:val="0"/>
        <w:rPr>
          <w:rFonts w:ascii="Arial" w:hAnsi="Arial" w:cs="Arial"/>
          <w:b/>
          <w:sz w:val="24"/>
          <w:szCs w:val="24"/>
        </w:rPr>
      </w:pPr>
      <w:r w:rsidRPr="00F95C19">
        <w:rPr>
          <w:rFonts w:ascii="Arial" w:hAnsi="Arial" w:cs="Arial"/>
          <w:b/>
          <w:sz w:val="24"/>
          <w:szCs w:val="24"/>
        </w:rPr>
        <w:t>QUESTION FOR WRITTEN REPLY</w:t>
      </w:r>
    </w:p>
    <w:p w:rsidR="00294D96" w:rsidRPr="00F95C19" w:rsidRDefault="00294D96" w:rsidP="00F95C19">
      <w:pPr>
        <w:spacing w:after="0" w:line="276" w:lineRule="auto"/>
        <w:ind w:left="720" w:hanging="720"/>
        <w:jc w:val="both"/>
        <w:outlineLvl w:val="0"/>
        <w:rPr>
          <w:rFonts w:ascii="Arial" w:hAnsi="Arial" w:cs="Arial"/>
          <w:b/>
          <w:bCs/>
          <w:sz w:val="24"/>
          <w:szCs w:val="24"/>
        </w:rPr>
      </w:pPr>
    </w:p>
    <w:p w:rsidR="004D2421" w:rsidRPr="00F95C19" w:rsidRDefault="00B236EF" w:rsidP="00F95C19">
      <w:pPr>
        <w:spacing w:after="0" w:line="276" w:lineRule="auto"/>
        <w:ind w:left="720" w:hanging="720"/>
        <w:jc w:val="both"/>
        <w:outlineLvl w:val="0"/>
        <w:rPr>
          <w:rFonts w:ascii="Arial" w:hAnsi="Arial" w:cs="Arial"/>
          <w:b/>
          <w:bCs/>
          <w:caps/>
          <w:sz w:val="24"/>
          <w:szCs w:val="24"/>
        </w:rPr>
      </w:pPr>
      <w:r w:rsidRPr="00F95C19">
        <w:rPr>
          <w:rFonts w:ascii="Arial" w:hAnsi="Arial" w:cs="Arial"/>
          <w:b/>
          <w:bCs/>
          <w:caps/>
          <w:sz w:val="24"/>
          <w:szCs w:val="24"/>
        </w:rPr>
        <w:t>QUESTION</w:t>
      </w:r>
      <w:r w:rsidR="00C85DD8" w:rsidRPr="00F95C19">
        <w:rPr>
          <w:rFonts w:ascii="Arial" w:hAnsi="Arial" w:cs="Arial"/>
          <w:b/>
          <w:bCs/>
          <w:caps/>
          <w:sz w:val="24"/>
          <w:szCs w:val="24"/>
        </w:rPr>
        <w:t xml:space="preserve"> NO</w:t>
      </w:r>
      <w:r w:rsidR="00D66290" w:rsidRPr="00F95C19">
        <w:rPr>
          <w:rFonts w:ascii="Arial" w:hAnsi="Arial" w:cs="Arial"/>
          <w:b/>
          <w:bCs/>
          <w:caps/>
          <w:sz w:val="24"/>
          <w:szCs w:val="24"/>
        </w:rPr>
        <w:t xml:space="preserve">. </w:t>
      </w:r>
      <w:r w:rsidR="00FA50D4" w:rsidRPr="00F95C19">
        <w:rPr>
          <w:rFonts w:ascii="Arial" w:hAnsi="Arial" w:cs="Arial"/>
          <w:b/>
          <w:bCs/>
          <w:caps/>
          <w:sz w:val="24"/>
          <w:szCs w:val="24"/>
        </w:rPr>
        <w:t>537</w:t>
      </w:r>
    </w:p>
    <w:p w:rsidR="00B236EF" w:rsidRPr="00F95C19" w:rsidRDefault="004D2421" w:rsidP="00F95C19">
      <w:pPr>
        <w:spacing w:after="0" w:line="276" w:lineRule="auto"/>
        <w:ind w:left="720" w:hanging="720"/>
        <w:jc w:val="both"/>
        <w:outlineLvl w:val="0"/>
        <w:rPr>
          <w:rFonts w:ascii="Arial" w:hAnsi="Arial" w:cs="Arial"/>
          <w:b/>
          <w:bCs/>
          <w:sz w:val="24"/>
          <w:szCs w:val="24"/>
        </w:rPr>
      </w:pPr>
      <w:r w:rsidRPr="00F95C19">
        <w:rPr>
          <w:rFonts w:ascii="Arial" w:hAnsi="Arial" w:cs="Arial"/>
          <w:b/>
          <w:bCs/>
          <w:caps/>
          <w:sz w:val="24"/>
          <w:szCs w:val="24"/>
        </w:rPr>
        <w:t>Published: 26 February 2021</w:t>
      </w:r>
      <w:r w:rsidR="00294D96" w:rsidRPr="00F95C19">
        <w:rPr>
          <w:rFonts w:ascii="Arial" w:hAnsi="Arial" w:cs="Arial"/>
          <w:b/>
          <w:bCs/>
          <w:sz w:val="24"/>
          <w:szCs w:val="24"/>
        </w:rPr>
        <w:tab/>
      </w:r>
    </w:p>
    <w:p w:rsidR="00B236EF" w:rsidRPr="00F95C19" w:rsidRDefault="00B236EF" w:rsidP="00F95C19">
      <w:pPr>
        <w:spacing w:after="0" w:line="276" w:lineRule="auto"/>
        <w:ind w:left="720" w:hanging="720"/>
        <w:jc w:val="both"/>
        <w:outlineLvl w:val="0"/>
        <w:rPr>
          <w:rFonts w:ascii="Arial" w:hAnsi="Arial" w:cs="Arial"/>
          <w:b/>
          <w:bCs/>
          <w:sz w:val="24"/>
          <w:szCs w:val="24"/>
        </w:rPr>
      </w:pPr>
    </w:p>
    <w:p w:rsidR="00294D96" w:rsidRPr="00F95C19" w:rsidRDefault="00FA50D4" w:rsidP="00F95C19">
      <w:pPr>
        <w:spacing w:after="0" w:line="276" w:lineRule="auto"/>
        <w:ind w:left="720" w:hanging="720"/>
        <w:jc w:val="both"/>
        <w:outlineLvl w:val="0"/>
        <w:rPr>
          <w:rFonts w:ascii="Arial" w:eastAsia="Times New Roman" w:hAnsi="Arial" w:cs="Arial"/>
          <w:sz w:val="24"/>
          <w:szCs w:val="24"/>
          <w:lang w:val="en-US"/>
        </w:rPr>
      </w:pPr>
      <w:r w:rsidRPr="00F95C19">
        <w:rPr>
          <w:rFonts w:ascii="Arial" w:hAnsi="Arial" w:cs="Arial"/>
          <w:b/>
          <w:bCs/>
          <w:sz w:val="24"/>
          <w:szCs w:val="24"/>
          <w:lang w:val="en-US"/>
        </w:rPr>
        <w:t xml:space="preserve">Mr M J Cuthbert (DA) </w:t>
      </w:r>
      <w:r w:rsidR="00294D96" w:rsidRPr="00F95C19">
        <w:rPr>
          <w:rFonts w:ascii="Arial" w:eastAsia="Times New Roman" w:hAnsi="Arial" w:cs="Arial"/>
          <w:b/>
          <w:sz w:val="24"/>
          <w:szCs w:val="24"/>
          <w:lang w:val="en-US"/>
        </w:rPr>
        <w:t>to ask the Minister of Trade and Industry</w:t>
      </w:r>
      <w:r w:rsidR="00C73D6A" w:rsidRPr="00F95C19">
        <w:rPr>
          <w:rFonts w:ascii="Arial" w:eastAsia="Times New Roman" w:hAnsi="Arial" w:cs="Arial"/>
          <w:b/>
          <w:sz w:val="24"/>
          <w:szCs w:val="24"/>
          <w:lang w:val="en-US"/>
        </w:rPr>
        <w:fldChar w:fldCharType="begin"/>
      </w:r>
      <w:r w:rsidR="00294D96" w:rsidRPr="00F95C19">
        <w:rPr>
          <w:rFonts w:ascii="Arial" w:hAnsi="Arial" w:cs="Arial"/>
          <w:sz w:val="24"/>
          <w:szCs w:val="24"/>
        </w:rPr>
        <w:instrText xml:space="preserve"> XE "</w:instrText>
      </w:r>
      <w:r w:rsidR="00294D96" w:rsidRPr="00F95C19">
        <w:rPr>
          <w:rFonts w:ascii="Arial" w:eastAsia="Times New Roman" w:hAnsi="Arial" w:cs="Arial"/>
          <w:b/>
          <w:sz w:val="24"/>
          <w:szCs w:val="24"/>
          <w:lang w:val="en-US"/>
        </w:rPr>
        <w:instrText>Trade and Industry</w:instrText>
      </w:r>
      <w:r w:rsidR="00294D96" w:rsidRPr="00F95C19">
        <w:rPr>
          <w:rFonts w:ascii="Arial" w:hAnsi="Arial" w:cs="Arial"/>
          <w:sz w:val="24"/>
          <w:szCs w:val="24"/>
        </w:rPr>
        <w:instrText xml:space="preserve">" </w:instrText>
      </w:r>
      <w:r w:rsidR="00C73D6A" w:rsidRPr="00F95C19">
        <w:rPr>
          <w:rFonts w:ascii="Arial" w:eastAsia="Times New Roman" w:hAnsi="Arial" w:cs="Arial"/>
          <w:b/>
          <w:sz w:val="24"/>
          <w:szCs w:val="24"/>
          <w:lang w:val="en-US"/>
        </w:rPr>
        <w:fldChar w:fldCharType="end"/>
      </w:r>
    </w:p>
    <w:p w:rsidR="00FA50D4" w:rsidRPr="00F95C19" w:rsidRDefault="00FA50D4" w:rsidP="00F95C19">
      <w:pPr>
        <w:spacing w:before="100" w:beforeAutospacing="1" w:after="100" w:afterAutospacing="1" w:line="276" w:lineRule="auto"/>
        <w:ind w:left="720" w:hanging="720"/>
        <w:jc w:val="both"/>
        <w:rPr>
          <w:rFonts w:ascii="Arial" w:hAnsi="Arial" w:cs="Arial"/>
          <w:sz w:val="24"/>
          <w:szCs w:val="24"/>
        </w:rPr>
      </w:pPr>
      <w:r w:rsidRPr="00F95C19">
        <w:rPr>
          <w:rFonts w:ascii="Arial" w:hAnsi="Arial" w:cs="Arial"/>
          <w:sz w:val="24"/>
          <w:szCs w:val="24"/>
        </w:rPr>
        <w:t>(1)</w:t>
      </w:r>
      <w:r w:rsidRPr="00F95C19">
        <w:rPr>
          <w:rFonts w:ascii="Arial" w:hAnsi="Arial" w:cs="Arial"/>
          <w:sz w:val="24"/>
          <w:szCs w:val="24"/>
        </w:rPr>
        <w:tab/>
        <w:t xml:space="preserve">(a) On what date was the SA Trade Policy and Strategy Framework last revised and/or updated and (b) what are the relevant details thereof; </w:t>
      </w:r>
    </w:p>
    <w:p w:rsidR="00FA50D4" w:rsidRPr="00F95C19" w:rsidRDefault="00FA50D4" w:rsidP="00F95C19">
      <w:pPr>
        <w:spacing w:before="100" w:beforeAutospacing="1" w:after="100" w:afterAutospacing="1" w:line="276" w:lineRule="auto"/>
        <w:ind w:left="720" w:hanging="720"/>
        <w:jc w:val="both"/>
        <w:rPr>
          <w:rFonts w:ascii="Arial" w:hAnsi="Arial" w:cs="Arial"/>
          <w:sz w:val="24"/>
          <w:szCs w:val="24"/>
        </w:rPr>
      </w:pPr>
      <w:r w:rsidRPr="00F95C19">
        <w:rPr>
          <w:rFonts w:ascii="Arial" w:hAnsi="Arial" w:cs="Arial"/>
          <w:sz w:val="24"/>
          <w:szCs w:val="24"/>
        </w:rPr>
        <w:t>(2)</w:t>
      </w:r>
      <w:r w:rsidRPr="00F95C19">
        <w:rPr>
          <w:rFonts w:ascii="Arial" w:hAnsi="Arial" w:cs="Arial"/>
          <w:sz w:val="24"/>
          <w:szCs w:val="24"/>
        </w:rPr>
        <w:tab/>
        <w:t>whether he has found that the SA Trade Policy and Strategy Framework accurately reflects the nature of the current South African economy and global economy at large; if not, what is the position in this regard; if so, what are the relevant details;</w:t>
      </w:r>
    </w:p>
    <w:p w:rsidR="00DE45A5" w:rsidRPr="00F95C19" w:rsidRDefault="00FA50D4" w:rsidP="00F95C19">
      <w:pPr>
        <w:spacing w:before="100" w:beforeAutospacing="1" w:after="100" w:afterAutospacing="1" w:line="276" w:lineRule="auto"/>
        <w:ind w:left="720" w:hanging="720"/>
        <w:jc w:val="both"/>
        <w:rPr>
          <w:rFonts w:ascii="Arial" w:hAnsi="Arial" w:cs="Arial"/>
          <w:color w:val="000000"/>
          <w:sz w:val="24"/>
          <w:szCs w:val="24"/>
        </w:rPr>
      </w:pPr>
      <w:r w:rsidRPr="00F95C19">
        <w:rPr>
          <w:rFonts w:ascii="Arial" w:hAnsi="Arial" w:cs="Arial"/>
          <w:sz w:val="24"/>
          <w:szCs w:val="24"/>
        </w:rPr>
        <w:t>(3)</w:t>
      </w:r>
      <w:r w:rsidRPr="00F95C19">
        <w:rPr>
          <w:rFonts w:ascii="Arial" w:hAnsi="Arial" w:cs="Arial"/>
          <w:sz w:val="24"/>
          <w:szCs w:val="24"/>
        </w:rPr>
        <w:tab/>
        <w:t>whether his department has a trade policy review mechanism in place, with clear terms of reference; if not, why not; if so, what are the relevant details thereof</w:t>
      </w:r>
      <w:r w:rsidRPr="00F95C19">
        <w:rPr>
          <w:rFonts w:ascii="Arial" w:hAnsi="Arial" w:cs="Arial"/>
          <w:color w:val="000000"/>
          <w:sz w:val="24"/>
          <w:szCs w:val="24"/>
        </w:rPr>
        <w:t>?</w:t>
      </w:r>
      <w:r w:rsidR="004D2421" w:rsidRPr="00F95C19">
        <w:rPr>
          <w:rFonts w:ascii="Arial" w:hAnsi="Arial" w:cs="Arial"/>
          <w:color w:val="000000"/>
          <w:sz w:val="24"/>
          <w:szCs w:val="24"/>
        </w:rPr>
        <w:t xml:space="preserve">           </w:t>
      </w:r>
      <w:r w:rsidRPr="00F95C19">
        <w:rPr>
          <w:rFonts w:ascii="Arial" w:hAnsi="Arial" w:cs="Arial"/>
          <w:color w:val="000000"/>
          <w:sz w:val="24"/>
          <w:szCs w:val="24"/>
        </w:rPr>
        <w:t>NW593E</w:t>
      </w:r>
    </w:p>
    <w:p w:rsidR="004D2421" w:rsidRPr="00F95C19" w:rsidRDefault="004D2421" w:rsidP="00F95C19">
      <w:pPr>
        <w:spacing w:after="0" w:line="276" w:lineRule="auto"/>
        <w:jc w:val="both"/>
        <w:outlineLvl w:val="0"/>
        <w:rPr>
          <w:rFonts w:ascii="Arial" w:eastAsia="Times New Roman" w:hAnsi="Arial" w:cs="Arial"/>
          <w:b/>
          <w:color w:val="000000" w:themeColor="text1"/>
          <w:sz w:val="24"/>
          <w:szCs w:val="24"/>
          <w:lang w:val="en-US"/>
        </w:rPr>
      </w:pPr>
    </w:p>
    <w:p w:rsidR="00C60F52" w:rsidRPr="00F95C19" w:rsidRDefault="00B236EF" w:rsidP="00F95C19">
      <w:pPr>
        <w:spacing w:after="0" w:line="276" w:lineRule="auto"/>
        <w:jc w:val="both"/>
        <w:outlineLvl w:val="0"/>
        <w:rPr>
          <w:rFonts w:ascii="Arial" w:eastAsia="Times New Roman" w:hAnsi="Arial" w:cs="Arial"/>
          <w:b/>
          <w:color w:val="000000" w:themeColor="text1"/>
          <w:sz w:val="24"/>
          <w:szCs w:val="24"/>
          <w:lang w:val="en-US"/>
        </w:rPr>
      </w:pPr>
      <w:r w:rsidRPr="00F95C19">
        <w:rPr>
          <w:rFonts w:ascii="Arial" w:eastAsia="Times New Roman" w:hAnsi="Arial" w:cs="Arial"/>
          <w:b/>
          <w:color w:val="000000" w:themeColor="text1"/>
          <w:sz w:val="24"/>
          <w:szCs w:val="24"/>
          <w:lang w:val="en-US"/>
        </w:rPr>
        <w:t>RE</w:t>
      </w:r>
      <w:r w:rsidR="004D2421" w:rsidRPr="00F95C19">
        <w:rPr>
          <w:rFonts w:ascii="Arial" w:eastAsia="Times New Roman" w:hAnsi="Arial" w:cs="Arial"/>
          <w:b/>
          <w:color w:val="000000" w:themeColor="text1"/>
          <w:sz w:val="24"/>
          <w:szCs w:val="24"/>
          <w:lang w:val="en-US"/>
        </w:rPr>
        <w:t>PLY</w:t>
      </w:r>
    </w:p>
    <w:p w:rsidR="004D2421" w:rsidRPr="00F95C19" w:rsidRDefault="004D2421" w:rsidP="00F95C19">
      <w:pPr>
        <w:spacing w:after="0" w:line="276" w:lineRule="auto"/>
        <w:jc w:val="both"/>
        <w:outlineLvl w:val="0"/>
        <w:rPr>
          <w:rFonts w:ascii="Arial" w:eastAsia="Times New Roman" w:hAnsi="Arial" w:cs="Arial"/>
          <w:b/>
          <w:sz w:val="24"/>
          <w:szCs w:val="24"/>
          <w:lang w:val="en-US"/>
        </w:rPr>
      </w:pPr>
    </w:p>
    <w:p w:rsidR="00F95C19" w:rsidRPr="00F95C19" w:rsidRDefault="00F95C19" w:rsidP="00C87A78">
      <w:pPr>
        <w:spacing w:after="0" w:line="276" w:lineRule="auto"/>
        <w:jc w:val="both"/>
        <w:rPr>
          <w:rFonts w:ascii="Arial" w:hAnsi="Arial" w:cs="Arial"/>
          <w:bCs/>
          <w:sz w:val="24"/>
          <w:szCs w:val="24"/>
          <w:lang w:val="en-GB"/>
        </w:rPr>
      </w:pPr>
      <w:r w:rsidRPr="00F95C19">
        <w:rPr>
          <w:rFonts w:ascii="Arial" w:hAnsi="Arial" w:cs="Arial"/>
          <w:bCs/>
          <w:sz w:val="24"/>
          <w:szCs w:val="24"/>
          <w:lang w:val="en-GB"/>
        </w:rPr>
        <w:t>The Trade Policy and Strategy Framework (TPSF) document was published in 2010 and represents South Africa’s broad approach to trade policy and strategy, following extensive consultations between government and stakeholders in NEDLAC. An update was issued in November 2012, largely focused on updating trade data. The DTIC website now contains regularly-updated and comprehensive trade data on a monthly basis, the latest reflecting the position as at January 2021, which includes trade import and export values for all trading partners.</w:t>
      </w:r>
    </w:p>
    <w:p w:rsidR="00F95C19" w:rsidRPr="00F95C19" w:rsidRDefault="00F95C19" w:rsidP="00C87A78">
      <w:pPr>
        <w:spacing w:after="0" w:line="276" w:lineRule="auto"/>
        <w:ind w:left="567"/>
        <w:jc w:val="both"/>
        <w:rPr>
          <w:rFonts w:ascii="Arial" w:hAnsi="Arial" w:cs="Arial"/>
          <w:bCs/>
          <w:sz w:val="24"/>
          <w:szCs w:val="24"/>
          <w:lang w:val="en-GB"/>
        </w:rPr>
      </w:pPr>
    </w:p>
    <w:p w:rsidR="00F95C19" w:rsidRPr="00F95C19" w:rsidRDefault="00F95C19" w:rsidP="00C87A78">
      <w:pPr>
        <w:spacing w:after="0" w:line="276" w:lineRule="auto"/>
        <w:jc w:val="both"/>
        <w:rPr>
          <w:rFonts w:ascii="Arial" w:hAnsi="Arial" w:cs="Arial"/>
          <w:bCs/>
          <w:sz w:val="24"/>
          <w:szCs w:val="24"/>
          <w:lang w:val="en-GB"/>
        </w:rPr>
      </w:pPr>
      <w:r w:rsidRPr="00F95C19">
        <w:rPr>
          <w:rFonts w:ascii="Arial" w:hAnsi="Arial" w:cs="Arial"/>
          <w:bCs/>
          <w:sz w:val="24"/>
          <w:szCs w:val="24"/>
          <w:lang w:val="en-GB"/>
        </w:rPr>
        <w:t>The TPSF is premised on objectives set out in the National Development Plan to promote and accelerate economic growth along a path that generates sustainable, decent jobs in order to reduce the poverty and extreme inequalities that characterise South African society and economy. It outlines how trade policy and strategy in South Africa can make a contribution to meeting the objectives of upgrading and diversifying the economic base in order to produce and export increasingly sophisticated, value added products that generate employment. Trade policy should support industrial policy.</w:t>
      </w:r>
    </w:p>
    <w:p w:rsidR="00F95C19" w:rsidRPr="00F95C19" w:rsidRDefault="00F95C19" w:rsidP="00C87A78">
      <w:pPr>
        <w:spacing w:after="0" w:line="276" w:lineRule="auto"/>
        <w:jc w:val="both"/>
        <w:rPr>
          <w:rFonts w:ascii="Arial" w:hAnsi="Arial" w:cs="Arial"/>
          <w:bCs/>
          <w:sz w:val="24"/>
          <w:szCs w:val="24"/>
          <w:lang w:val="en-GB"/>
        </w:rPr>
      </w:pPr>
    </w:p>
    <w:p w:rsidR="00F95C19" w:rsidRPr="00F95C19" w:rsidRDefault="00F95C19" w:rsidP="00C87A78">
      <w:pPr>
        <w:spacing w:after="0" w:line="276" w:lineRule="auto"/>
        <w:jc w:val="both"/>
        <w:rPr>
          <w:rFonts w:ascii="Arial" w:hAnsi="Arial" w:cs="Arial"/>
          <w:bCs/>
          <w:sz w:val="24"/>
          <w:szCs w:val="24"/>
          <w:lang w:val="en-GB"/>
        </w:rPr>
      </w:pPr>
      <w:r w:rsidRPr="00F95C19">
        <w:rPr>
          <w:rFonts w:ascii="Arial" w:hAnsi="Arial" w:cs="Arial"/>
          <w:bCs/>
          <w:sz w:val="24"/>
          <w:szCs w:val="24"/>
          <w:lang w:val="en-GB"/>
        </w:rPr>
        <w:t xml:space="preserve">The TPSF aims to ensure that we preserve the policy space to pursue national objectives while leveraging the benefits of more integrated regional and global markets. This has also informed our approach to a range of trade-related policy areas. </w:t>
      </w:r>
    </w:p>
    <w:p w:rsidR="00F95C19" w:rsidRPr="00F95C19" w:rsidRDefault="00F95C19" w:rsidP="00C87A78">
      <w:pPr>
        <w:spacing w:after="0" w:line="276" w:lineRule="auto"/>
        <w:jc w:val="both"/>
        <w:rPr>
          <w:rFonts w:ascii="Arial" w:hAnsi="Arial" w:cs="Arial"/>
          <w:sz w:val="24"/>
          <w:szCs w:val="24"/>
        </w:rPr>
      </w:pPr>
    </w:p>
    <w:p w:rsidR="00F95C19" w:rsidRPr="00F95C19" w:rsidRDefault="00F95C19" w:rsidP="00C87A78">
      <w:pPr>
        <w:spacing w:after="0" w:line="276" w:lineRule="auto"/>
        <w:jc w:val="both"/>
        <w:rPr>
          <w:rFonts w:ascii="Arial" w:hAnsi="Arial" w:cs="Arial"/>
          <w:bCs/>
          <w:sz w:val="24"/>
          <w:szCs w:val="24"/>
          <w:lang w:val="en-GB"/>
        </w:rPr>
      </w:pPr>
      <w:r w:rsidRPr="00F95C19">
        <w:rPr>
          <w:rFonts w:ascii="Arial" w:hAnsi="Arial" w:cs="Arial"/>
          <w:sz w:val="24"/>
          <w:szCs w:val="24"/>
        </w:rPr>
        <w:t>The TPSF recommended strengthening the institutional arrangements for trade policy making in South Africa. Ongoing efforts have been undertaken to improve coordination and consultation within government and between government and stakeholders in Parliament, NEDLAC, research institutions and academia. This work is ongoing.</w:t>
      </w:r>
    </w:p>
    <w:p w:rsidR="00F95C19" w:rsidRPr="00F95C19" w:rsidRDefault="00F95C19" w:rsidP="00C87A78">
      <w:pPr>
        <w:pStyle w:val="ListParagraph"/>
        <w:spacing w:after="0" w:line="276" w:lineRule="auto"/>
        <w:ind w:left="567"/>
        <w:jc w:val="both"/>
        <w:rPr>
          <w:rFonts w:ascii="Arial" w:hAnsi="Arial" w:cs="Arial"/>
          <w:bCs/>
          <w:sz w:val="24"/>
          <w:szCs w:val="24"/>
          <w:lang w:val="en-GB"/>
        </w:rPr>
      </w:pPr>
    </w:p>
    <w:p w:rsidR="00F95C19" w:rsidRPr="00F95C19" w:rsidRDefault="00F95C19" w:rsidP="00C87A78">
      <w:pPr>
        <w:spacing w:after="0" w:line="276" w:lineRule="auto"/>
        <w:jc w:val="both"/>
        <w:rPr>
          <w:rFonts w:ascii="Arial" w:hAnsi="Arial" w:cs="Arial"/>
          <w:bCs/>
          <w:sz w:val="24"/>
          <w:szCs w:val="24"/>
          <w:lang w:val="en-GB"/>
        </w:rPr>
      </w:pPr>
      <w:r w:rsidRPr="00F95C19">
        <w:rPr>
          <w:rFonts w:ascii="Arial" w:hAnsi="Arial" w:cs="Arial"/>
          <w:bCs/>
          <w:sz w:val="24"/>
          <w:szCs w:val="24"/>
          <w:lang w:val="en-GB"/>
        </w:rPr>
        <w:t xml:space="preserve">The TPSF is broadly framed in policy and strategy terms. While there have been changes in the value of trade and rankings amongst trade partners as well as changes in the content of bilateral trade, the strategic thrust and overall orientation of the TPSF to support industrial development in SA remain relevant. The core principles and approach set out in the TPSF continue to offer importance guidance in approaching international trade from an industrial development and transformation perspective.    </w:t>
      </w:r>
    </w:p>
    <w:p w:rsidR="00F95C19" w:rsidRPr="00F95C19" w:rsidRDefault="00F95C19" w:rsidP="00C87A78">
      <w:pPr>
        <w:pStyle w:val="ListParagraph"/>
        <w:spacing w:after="0" w:line="276" w:lineRule="auto"/>
        <w:ind w:left="567"/>
        <w:jc w:val="both"/>
        <w:rPr>
          <w:rFonts w:ascii="Arial" w:hAnsi="Arial" w:cs="Arial"/>
          <w:bCs/>
          <w:sz w:val="24"/>
          <w:szCs w:val="24"/>
          <w:lang w:val="en-GB"/>
        </w:rPr>
      </w:pPr>
    </w:p>
    <w:p w:rsidR="0044369B" w:rsidRDefault="00F95C19" w:rsidP="00C87A78">
      <w:pPr>
        <w:spacing w:after="0" w:line="276" w:lineRule="auto"/>
        <w:jc w:val="both"/>
        <w:rPr>
          <w:rFonts w:ascii="Arial" w:hAnsi="Arial" w:cs="Arial"/>
          <w:bCs/>
          <w:sz w:val="24"/>
          <w:szCs w:val="24"/>
          <w:lang w:val="en-GB"/>
        </w:rPr>
      </w:pPr>
      <w:r w:rsidRPr="00F95C19">
        <w:rPr>
          <w:rFonts w:ascii="Arial" w:hAnsi="Arial" w:cs="Arial"/>
          <w:bCs/>
          <w:sz w:val="24"/>
          <w:szCs w:val="24"/>
          <w:lang w:val="en-GB"/>
        </w:rPr>
        <w:t xml:space="preserve">Application of trade policy needs to be agile, taking account of changes in the trade and policy environment – for example, the position of the previous US Administration on trade matters, the decision of the UK to leave the European Union, the opportunity to expand trade with the rest of the African continent and the impact of the Covid-19 pandemic on SA national priorities. The policy is reviewed regularly internally and the manner in which it is applied and adjusted are set out from time to time by statements made by the Executive Authority, including in Budget Votes, other statements in Parliament and at the World Trade Organisation. </w:t>
      </w:r>
      <w:r w:rsidR="0044369B">
        <w:rPr>
          <w:rFonts w:ascii="Arial" w:hAnsi="Arial" w:cs="Arial"/>
          <w:bCs/>
          <w:sz w:val="24"/>
          <w:szCs w:val="24"/>
          <w:lang w:val="en-GB"/>
        </w:rPr>
        <w:t>The following trade interventions illustrate how the Trade Policy and Strategy Framework is applied and adjusted to circumstances.</w:t>
      </w:r>
    </w:p>
    <w:p w:rsidR="0044369B" w:rsidRDefault="0044369B" w:rsidP="00C87A78">
      <w:pPr>
        <w:spacing w:after="0" w:line="276" w:lineRule="auto"/>
        <w:jc w:val="both"/>
        <w:rPr>
          <w:rFonts w:ascii="Arial" w:hAnsi="Arial" w:cs="Arial"/>
          <w:bCs/>
          <w:sz w:val="24"/>
          <w:szCs w:val="24"/>
          <w:lang w:val="en-GB"/>
        </w:rPr>
      </w:pPr>
    </w:p>
    <w:p w:rsidR="0044369B" w:rsidRPr="0044369B" w:rsidRDefault="0044369B" w:rsidP="00C87A78">
      <w:pPr>
        <w:pStyle w:val="ListParagraph"/>
        <w:numPr>
          <w:ilvl w:val="0"/>
          <w:numId w:val="29"/>
        </w:numPr>
        <w:spacing w:after="0" w:line="276" w:lineRule="auto"/>
        <w:jc w:val="both"/>
        <w:rPr>
          <w:rFonts w:ascii="Arial" w:hAnsi="Arial" w:cs="Arial"/>
          <w:bCs/>
          <w:sz w:val="24"/>
          <w:szCs w:val="24"/>
          <w:lang w:val="en-GB"/>
        </w:rPr>
      </w:pPr>
      <w:r w:rsidRPr="00DE0373">
        <w:rPr>
          <w:rFonts w:ascii="Arial" w:hAnsi="Arial" w:cs="Arial"/>
          <w:b/>
          <w:bCs/>
          <w:sz w:val="24"/>
          <w:szCs w:val="24"/>
          <w:lang w:val="en-GB"/>
        </w:rPr>
        <w:t>2011:</w:t>
      </w:r>
      <w:r>
        <w:rPr>
          <w:rFonts w:ascii="Arial" w:hAnsi="Arial" w:cs="Arial"/>
          <w:bCs/>
          <w:sz w:val="24"/>
          <w:szCs w:val="24"/>
          <w:lang w:val="en-GB"/>
        </w:rPr>
        <w:t xml:space="preserve"> </w:t>
      </w:r>
      <w:r w:rsidRPr="00F95C19">
        <w:rPr>
          <w:rFonts w:ascii="Arial" w:hAnsi="Arial" w:cs="Arial"/>
          <w:bCs/>
          <w:sz w:val="24"/>
          <w:szCs w:val="24"/>
          <w:lang w:val="en-GB"/>
        </w:rPr>
        <w:t>Negotiations o</w:t>
      </w:r>
      <w:r w:rsidR="00DE0373">
        <w:rPr>
          <w:rFonts w:ascii="Arial" w:hAnsi="Arial" w:cs="Arial"/>
          <w:bCs/>
          <w:sz w:val="24"/>
          <w:szCs w:val="24"/>
          <w:lang w:val="en-GB"/>
        </w:rPr>
        <w:t>f</w:t>
      </w:r>
      <w:r w:rsidRPr="00F95C19">
        <w:rPr>
          <w:rFonts w:ascii="Arial" w:hAnsi="Arial" w:cs="Arial"/>
          <w:bCs/>
          <w:sz w:val="24"/>
          <w:szCs w:val="24"/>
          <w:lang w:val="en-GB"/>
        </w:rPr>
        <w:t xml:space="preserve"> the SACU-MERCOSUR Preferential Trade Agreement </w:t>
      </w:r>
      <w:r>
        <w:rPr>
          <w:rFonts w:ascii="Arial" w:hAnsi="Arial" w:cs="Arial"/>
          <w:bCs/>
          <w:sz w:val="24"/>
          <w:szCs w:val="24"/>
          <w:lang w:val="en-GB"/>
        </w:rPr>
        <w:t xml:space="preserve"> (</w:t>
      </w:r>
      <w:r w:rsidRPr="00F95C19">
        <w:rPr>
          <w:rFonts w:ascii="Arial" w:hAnsi="Arial" w:cs="Arial"/>
          <w:bCs/>
          <w:sz w:val="24"/>
          <w:szCs w:val="24"/>
          <w:lang w:val="en-GB"/>
        </w:rPr>
        <w:t>entered into force in December 2018</w:t>
      </w:r>
      <w:r>
        <w:rPr>
          <w:rFonts w:ascii="Arial" w:hAnsi="Arial" w:cs="Arial"/>
          <w:bCs/>
          <w:sz w:val="24"/>
          <w:szCs w:val="24"/>
          <w:lang w:val="en-GB"/>
        </w:rPr>
        <w:t>)</w:t>
      </w:r>
    </w:p>
    <w:p w:rsidR="00F95C19" w:rsidRDefault="0044369B"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2011:</w:t>
      </w:r>
      <w:r>
        <w:rPr>
          <w:rFonts w:ascii="Arial" w:hAnsi="Arial" w:cs="Arial"/>
          <w:bCs/>
          <w:sz w:val="24"/>
          <w:szCs w:val="24"/>
          <w:lang w:val="en-GB"/>
        </w:rPr>
        <w:t xml:space="preserve"> </w:t>
      </w:r>
      <w:r w:rsidR="00F95C19" w:rsidRPr="00F95C19">
        <w:rPr>
          <w:rFonts w:ascii="Arial" w:hAnsi="Arial" w:cs="Arial"/>
          <w:bCs/>
          <w:sz w:val="24"/>
          <w:szCs w:val="24"/>
          <w:lang w:val="en-GB"/>
        </w:rPr>
        <w:t>Adopt</w:t>
      </w:r>
      <w:r w:rsidR="00DE0373">
        <w:rPr>
          <w:rFonts w:ascii="Arial" w:hAnsi="Arial" w:cs="Arial"/>
          <w:bCs/>
          <w:sz w:val="24"/>
          <w:szCs w:val="24"/>
          <w:lang w:val="en-GB"/>
        </w:rPr>
        <w:t>ion of</w:t>
      </w:r>
      <w:r w:rsidR="00F95C19" w:rsidRPr="00F95C19">
        <w:rPr>
          <w:rFonts w:ascii="Arial" w:hAnsi="Arial" w:cs="Arial"/>
          <w:bCs/>
          <w:sz w:val="24"/>
          <w:szCs w:val="24"/>
          <w:lang w:val="en-GB"/>
        </w:rPr>
        <w:t xml:space="preserve"> modalities at the Tripartite Free Trade Agreement Summit to promote regional trade between SADC, EAC and COMESA.   </w:t>
      </w:r>
    </w:p>
    <w:p w:rsidR="002C75FE" w:rsidRPr="00F95C19" w:rsidRDefault="002C75FE" w:rsidP="00C87A78">
      <w:pPr>
        <w:pStyle w:val="ListParagraph"/>
        <w:numPr>
          <w:ilvl w:val="0"/>
          <w:numId w:val="29"/>
        </w:numPr>
        <w:spacing w:after="0" w:line="276" w:lineRule="auto"/>
        <w:ind w:left="426" w:hanging="426"/>
        <w:jc w:val="both"/>
        <w:rPr>
          <w:rFonts w:ascii="Arial" w:hAnsi="Arial" w:cs="Arial"/>
          <w:bCs/>
          <w:sz w:val="24"/>
          <w:szCs w:val="24"/>
          <w:lang w:val="en-GB"/>
        </w:rPr>
      </w:pPr>
      <w:r>
        <w:rPr>
          <w:rFonts w:ascii="Arial" w:hAnsi="Arial" w:cs="Arial"/>
          <w:b/>
          <w:bCs/>
          <w:sz w:val="24"/>
          <w:szCs w:val="24"/>
          <w:lang w:val="en-GB"/>
        </w:rPr>
        <w:t>2014/15:</w:t>
      </w:r>
      <w:r>
        <w:rPr>
          <w:rFonts w:ascii="Arial" w:hAnsi="Arial" w:cs="Arial"/>
          <w:bCs/>
          <w:sz w:val="24"/>
          <w:szCs w:val="24"/>
          <w:lang w:val="en-GB"/>
        </w:rPr>
        <w:t xml:space="preserve"> </w:t>
      </w:r>
      <w:r w:rsidR="00AB0100">
        <w:rPr>
          <w:rFonts w:ascii="Arial" w:hAnsi="Arial" w:cs="Arial"/>
          <w:bCs/>
          <w:sz w:val="24"/>
          <w:szCs w:val="24"/>
          <w:lang w:val="en-GB"/>
        </w:rPr>
        <w:t>Engagement and agreement with US and SA on poultry quotas and its relationship with continuation of AGOA benefits by SA</w:t>
      </w:r>
    </w:p>
    <w:p w:rsidR="00F95C19" w:rsidRDefault="0044369B"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2015:</w:t>
      </w:r>
      <w:r>
        <w:rPr>
          <w:rFonts w:ascii="Arial" w:hAnsi="Arial" w:cs="Arial"/>
          <w:bCs/>
          <w:sz w:val="24"/>
          <w:szCs w:val="24"/>
          <w:lang w:val="en-GB"/>
        </w:rPr>
        <w:t xml:space="preserve"> D</w:t>
      </w:r>
      <w:r w:rsidR="00F95C19" w:rsidRPr="00F95C19">
        <w:rPr>
          <w:rFonts w:ascii="Arial" w:hAnsi="Arial" w:cs="Arial"/>
          <w:bCs/>
          <w:sz w:val="24"/>
          <w:szCs w:val="24"/>
          <w:lang w:val="en-GB"/>
        </w:rPr>
        <w:t xml:space="preserve">ecision to launch negotiations leading to the conclusion of the African Continental Free Trade Area (AfCFTA). </w:t>
      </w:r>
    </w:p>
    <w:p w:rsidR="0044369B" w:rsidRDefault="0044369B"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2015:</w:t>
      </w:r>
      <w:r>
        <w:rPr>
          <w:rFonts w:ascii="Arial" w:hAnsi="Arial" w:cs="Arial"/>
          <w:bCs/>
          <w:sz w:val="24"/>
          <w:szCs w:val="24"/>
          <w:lang w:val="en-GB"/>
        </w:rPr>
        <w:t xml:space="preserve"> </w:t>
      </w:r>
      <w:r w:rsidRPr="00F95C19">
        <w:rPr>
          <w:rFonts w:ascii="Arial" w:hAnsi="Arial" w:cs="Arial"/>
          <w:bCs/>
          <w:sz w:val="24"/>
          <w:szCs w:val="24"/>
          <w:lang w:val="en-GB"/>
        </w:rPr>
        <w:t xml:space="preserve">Engagements with the US Trade Representative on the extension of AGOA </w:t>
      </w:r>
      <w:r w:rsidR="00DE0373">
        <w:rPr>
          <w:rFonts w:ascii="Arial" w:hAnsi="Arial" w:cs="Arial"/>
          <w:bCs/>
          <w:sz w:val="24"/>
          <w:szCs w:val="24"/>
          <w:lang w:val="en-GB"/>
        </w:rPr>
        <w:t>(</w:t>
      </w:r>
      <w:r w:rsidRPr="00F95C19">
        <w:rPr>
          <w:rFonts w:ascii="Arial" w:hAnsi="Arial" w:cs="Arial"/>
          <w:bCs/>
          <w:sz w:val="24"/>
          <w:szCs w:val="24"/>
          <w:lang w:val="en-GB"/>
        </w:rPr>
        <w:t>followed with annual Ministerial meetings of the AGOA Forum in 2018 and 2019</w:t>
      </w:r>
      <w:r w:rsidR="00DE0373">
        <w:rPr>
          <w:rFonts w:ascii="Arial" w:hAnsi="Arial" w:cs="Arial"/>
          <w:bCs/>
          <w:sz w:val="24"/>
          <w:szCs w:val="24"/>
          <w:lang w:val="en-GB"/>
        </w:rPr>
        <w:t>)</w:t>
      </w:r>
      <w:r w:rsidRPr="00F95C19">
        <w:rPr>
          <w:rFonts w:ascii="Arial" w:hAnsi="Arial" w:cs="Arial"/>
          <w:bCs/>
          <w:sz w:val="24"/>
          <w:szCs w:val="24"/>
          <w:lang w:val="en-GB"/>
        </w:rPr>
        <w:t>.</w:t>
      </w:r>
    </w:p>
    <w:p w:rsidR="00341474" w:rsidRPr="00AB0100"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2017:</w:t>
      </w:r>
      <w:r>
        <w:rPr>
          <w:rFonts w:ascii="Arial" w:hAnsi="Arial" w:cs="Arial"/>
          <w:bCs/>
          <w:sz w:val="24"/>
          <w:szCs w:val="24"/>
          <w:lang w:val="en-GB"/>
        </w:rPr>
        <w:t xml:space="preserve"> </w:t>
      </w:r>
      <w:r w:rsidRPr="00F95C19">
        <w:rPr>
          <w:rFonts w:ascii="Arial" w:hAnsi="Arial" w:cs="Arial"/>
          <w:bCs/>
          <w:sz w:val="24"/>
          <w:szCs w:val="24"/>
          <w:lang w:val="en-GB"/>
        </w:rPr>
        <w:t xml:space="preserve">Trade negotiations initiated with the UK in July 2017 following the UK’s decision to exit the EU. </w:t>
      </w:r>
    </w:p>
    <w:p w:rsidR="00F95C19" w:rsidRPr="00C56123" w:rsidRDefault="0044369B"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lastRenderedPageBreak/>
        <w:t>20</w:t>
      </w:r>
      <w:r w:rsidRPr="00C56123">
        <w:rPr>
          <w:rFonts w:ascii="Arial" w:hAnsi="Arial" w:cs="Arial"/>
          <w:b/>
          <w:bCs/>
          <w:sz w:val="24"/>
          <w:szCs w:val="24"/>
          <w:lang w:val="en-GB"/>
        </w:rPr>
        <w:t>18:</w:t>
      </w:r>
      <w:r w:rsidRPr="00C56123">
        <w:rPr>
          <w:rFonts w:ascii="Arial" w:hAnsi="Arial" w:cs="Arial"/>
          <w:bCs/>
          <w:sz w:val="24"/>
          <w:szCs w:val="24"/>
          <w:lang w:val="en-GB"/>
        </w:rPr>
        <w:t xml:space="preserve"> R</w:t>
      </w:r>
      <w:r w:rsidR="00F95C19" w:rsidRPr="00C56123">
        <w:rPr>
          <w:rFonts w:ascii="Arial" w:hAnsi="Arial" w:cs="Arial"/>
          <w:bCs/>
          <w:sz w:val="24"/>
          <w:szCs w:val="24"/>
          <w:lang w:val="en-GB"/>
        </w:rPr>
        <w:t xml:space="preserve">eview of the SACU-EFTA Free Trade Agreement </w:t>
      </w:r>
    </w:p>
    <w:p w:rsidR="007E5229" w:rsidRPr="00C56123" w:rsidRDefault="007E5229" w:rsidP="00C87A78">
      <w:pPr>
        <w:pStyle w:val="ListParagraph"/>
        <w:numPr>
          <w:ilvl w:val="0"/>
          <w:numId w:val="29"/>
        </w:numPr>
        <w:spacing w:after="0" w:line="276" w:lineRule="auto"/>
        <w:ind w:left="426" w:hanging="426"/>
        <w:jc w:val="both"/>
        <w:rPr>
          <w:rFonts w:ascii="Arial" w:hAnsi="Arial" w:cs="Arial"/>
          <w:bCs/>
          <w:sz w:val="24"/>
          <w:szCs w:val="24"/>
          <w:lang w:val="en-GB"/>
        </w:rPr>
      </w:pPr>
      <w:r w:rsidRPr="00C56123">
        <w:rPr>
          <w:rFonts w:ascii="Arial" w:hAnsi="Arial" w:cs="Arial"/>
          <w:b/>
          <w:bCs/>
          <w:sz w:val="24"/>
          <w:szCs w:val="24"/>
          <w:lang w:val="en-GB"/>
        </w:rPr>
        <w:t>2018:</w:t>
      </w:r>
      <w:r w:rsidRPr="00C56123">
        <w:rPr>
          <w:rFonts w:ascii="Arial" w:hAnsi="Arial" w:cs="Arial"/>
          <w:bCs/>
          <w:sz w:val="24"/>
          <w:szCs w:val="24"/>
          <w:lang w:val="en-GB"/>
        </w:rPr>
        <w:t xml:space="preserve"> Signing of AfCFTA agreement and ratification by SA Parliament</w:t>
      </w:r>
    </w:p>
    <w:p w:rsidR="00F95C19" w:rsidRPr="00F95C19" w:rsidRDefault="00C5612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C56123">
        <w:rPr>
          <w:rFonts w:ascii="Arial" w:hAnsi="Arial" w:cs="Arial"/>
          <w:b/>
          <w:bCs/>
          <w:sz w:val="24"/>
          <w:szCs w:val="24"/>
          <w:lang w:val="en-GB"/>
        </w:rPr>
        <w:t>2015</w:t>
      </w:r>
      <w:r w:rsidR="0044369B" w:rsidRPr="00C56123">
        <w:rPr>
          <w:rFonts w:ascii="Arial" w:hAnsi="Arial" w:cs="Arial"/>
          <w:b/>
          <w:bCs/>
          <w:sz w:val="24"/>
          <w:szCs w:val="24"/>
          <w:lang w:val="en-GB"/>
        </w:rPr>
        <w:t>:</w:t>
      </w:r>
      <w:r w:rsidR="0044369B" w:rsidRPr="00C56123">
        <w:rPr>
          <w:rFonts w:ascii="Arial" w:hAnsi="Arial" w:cs="Arial"/>
          <w:bCs/>
          <w:sz w:val="24"/>
          <w:szCs w:val="24"/>
          <w:lang w:val="en-GB"/>
        </w:rPr>
        <w:t xml:space="preserve"> </w:t>
      </w:r>
      <w:r w:rsidRPr="00C56123">
        <w:rPr>
          <w:rFonts w:ascii="Arial" w:hAnsi="Arial" w:cs="Arial"/>
          <w:bCs/>
          <w:sz w:val="24"/>
          <w:szCs w:val="24"/>
          <w:lang w:val="en-GB"/>
        </w:rPr>
        <w:t xml:space="preserve">Conclusion of </w:t>
      </w:r>
      <w:r w:rsidR="00F95C19" w:rsidRPr="00C56123">
        <w:rPr>
          <w:rFonts w:ascii="Arial" w:hAnsi="Arial" w:cs="Arial"/>
          <w:bCs/>
          <w:sz w:val="24"/>
          <w:szCs w:val="24"/>
          <w:lang w:val="en-GB"/>
        </w:rPr>
        <w:t>negotiations</w:t>
      </w:r>
      <w:r w:rsidR="00DE0373" w:rsidRPr="00C56123">
        <w:rPr>
          <w:rFonts w:ascii="Arial" w:hAnsi="Arial" w:cs="Arial"/>
          <w:bCs/>
          <w:sz w:val="24"/>
          <w:szCs w:val="24"/>
          <w:lang w:val="en-GB"/>
        </w:rPr>
        <w:t xml:space="preserve"> </w:t>
      </w:r>
      <w:r w:rsidR="00F95C19" w:rsidRPr="00C56123">
        <w:rPr>
          <w:rFonts w:ascii="Arial" w:hAnsi="Arial" w:cs="Arial"/>
          <w:bCs/>
          <w:sz w:val="24"/>
          <w:szCs w:val="24"/>
          <w:lang w:val="en-GB"/>
        </w:rPr>
        <w:t xml:space="preserve">with the EU to update trade arrangements </w:t>
      </w:r>
      <w:r w:rsidR="0044369B" w:rsidRPr="00C56123">
        <w:rPr>
          <w:rFonts w:ascii="Arial" w:hAnsi="Arial" w:cs="Arial"/>
          <w:bCs/>
          <w:sz w:val="24"/>
          <w:szCs w:val="24"/>
          <w:lang w:val="en-GB"/>
        </w:rPr>
        <w:t>(</w:t>
      </w:r>
      <w:r w:rsidR="00F95C19" w:rsidRPr="00C56123">
        <w:rPr>
          <w:rFonts w:ascii="Arial" w:hAnsi="Arial" w:cs="Arial"/>
          <w:bCs/>
          <w:sz w:val="24"/>
          <w:szCs w:val="24"/>
          <w:lang w:val="en-GB"/>
        </w:rPr>
        <w:t xml:space="preserve">the </w:t>
      </w:r>
      <w:r w:rsidR="00DE0373" w:rsidRPr="00C56123">
        <w:rPr>
          <w:rFonts w:ascii="Arial" w:hAnsi="Arial" w:cs="Arial"/>
          <w:bCs/>
          <w:sz w:val="24"/>
          <w:szCs w:val="24"/>
          <w:lang w:val="en-GB"/>
        </w:rPr>
        <w:t>ag</w:t>
      </w:r>
      <w:r w:rsidR="00DE0373">
        <w:rPr>
          <w:rFonts w:ascii="Arial" w:hAnsi="Arial" w:cs="Arial"/>
          <w:bCs/>
          <w:sz w:val="24"/>
          <w:szCs w:val="24"/>
          <w:lang w:val="en-GB"/>
        </w:rPr>
        <w:t>reement that flowed from this, the</w:t>
      </w:r>
      <w:r w:rsidR="00F95C19" w:rsidRPr="00F95C19">
        <w:rPr>
          <w:rFonts w:ascii="Arial" w:hAnsi="Arial" w:cs="Arial"/>
          <w:bCs/>
          <w:sz w:val="24"/>
          <w:szCs w:val="24"/>
          <w:lang w:val="en-GB"/>
        </w:rPr>
        <w:t xml:space="preserve"> SADC-EU EPA</w:t>
      </w:r>
      <w:r w:rsidR="00DE0373">
        <w:rPr>
          <w:rFonts w:ascii="Arial" w:hAnsi="Arial" w:cs="Arial"/>
          <w:bCs/>
          <w:sz w:val="24"/>
          <w:szCs w:val="24"/>
          <w:lang w:val="en-GB"/>
        </w:rPr>
        <w:t xml:space="preserve">, </w:t>
      </w:r>
      <w:r w:rsidR="00F95C19" w:rsidRPr="00F95C19">
        <w:rPr>
          <w:rFonts w:ascii="Arial" w:hAnsi="Arial" w:cs="Arial"/>
          <w:bCs/>
          <w:sz w:val="24"/>
          <w:szCs w:val="24"/>
          <w:lang w:val="en-GB"/>
        </w:rPr>
        <w:t>entered into force in September 2016</w:t>
      </w:r>
      <w:r w:rsidR="0044369B">
        <w:rPr>
          <w:rFonts w:ascii="Arial" w:hAnsi="Arial" w:cs="Arial"/>
          <w:bCs/>
          <w:sz w:val="24"/>
          <w:szCs w:val="24"/>
          <w:lang w:val="en-GB"/>
        </w:rPr>
        <w:t>)</w:t>
      </w:r>
      <w:r w:rsidR="00F95C19" w:rsidRPr="00F95C19">
        <w:rPr>
          <w:rFonts w:ascii="Arial" w:hAnsi="Arial" w:cs="Arial"/>
          <w:bCs/>
          <w:sz w:val="24"/>
          <w:szCs w:val="24"/>
          <w:lang w:val="en-GB"/>
        </w:rPr>
        <w:t>.</w:t>
      </w:r>
    </w:p>
    <w:p w:rsidR="00F95C19" w:rsidRPr="008E25D3"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2019:</w:t>
      </w:r>
      <w:r>
        <w:rPr>
          <w:rFonts w:ascii="Arial" w:hAnsi="Arial" w:cs="Arial"/>
          <w:bCs/>
          <w:sz w:val="24"/>
          <w:szCs w:val="24"/>
          <w:lang w:val="en-GB"/>
        </w:rPr>
        <w:t xml:space="preserve"> </w:t>
      </w:r>
      <w:r w:rsidR="00F95C19" w:rsidRPr="00F95C19">
        <w:rPr>
          <w:rFonts w:ascii="Arial" w:hAnsi="Arial" w:cs="Arial"/>
          <w:bCs/>
          <w:sz w:val="24"/>
          <w:szCs w:val="24"/>
          <w:lang w:val="en-GB"/>
        </w:rPr>
        <w:t xml:space="preserve">Negotiations on a new Economic Partnership Agreement (EPA) concluded </w:t>
      </w:r>
      <w:r w:rsidR="00341474">
        <w:rPr>
          <w:rFonts w:ascii="Arial" w:hAnsi="Arial" w:cs="Arial"/>
          <w:bCs/>
          <w:sz w:val="24"/>
          <w:szCs w:val="24"/>
          <w:lang w:val="en-GB"/>
        </w:rPr>
        <w:t xml:space="preserve">with the UK </w:t>
      </w:r>
      <w:r w:rsidR="00F95C19" w:rsidRPr="00F95C19">
        <w:rPr>
          <w:rFonts w:ascii="Arial" w:hAnsi="Arial" w:cs="Arial"/>
          <w:bCs/>
          <w:sz w:val="24"/>
          <w:szCs w:val="24"/>
          <w:lang w:val="en-GB"/>
        </w:rPr>
        <w:t>in September 2019 at which time a Ministerial Statement was delivered in the National Assembly. The new EPA entered into force on 1 January 2021.</w:t>
      </w:r>
    </w:p>
    <w:p w:rsidR="00F95C19"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2019:</w:t>
      </w:r>
      <w:r>
        <w:rPr>
          <w:rFonts w:ascii="Arial" w:hAnsi="Arial" w:cs="Arial"/>
          <w:bCs/>
          <w:sz w:val="24"/>
          <w:szCs w:val="24"/>
          <w:lang w:val="en-GB"/>
        </w:rPr>
        <w:t xml:space="preserve"> </w:t>
      </w:r>
      <w:r w:rsidR="00DE0373">
        <w:rPr>
          <w:rFonts w:ascii="Arial" w:hAnsi="Arial" w:cs="Arial"/>
          <w:bCs/>
          <w:sz w:val="24"/>
          <w:szCs w:val="24"/>
          <w:lang w:val="en-GB"/>
        </w:rPr>
        <w:t>Review of outcomes and issues in SA-US trade relationship - b</w:t>
      </w:r>
      <w:r w:rsidR="00F95C19" w:rsidRPr="00F95C19">
        <w:rPr>
          <w:rFonts w:ascii="Arial" w:hAnsi="Arial" w:cs="Arial"/>
          <w:bCs/>
          <w:sz w:val="24"/>
          <w:szCs w:val="24"/>
          <w:lang w:val="en-GB"/>
        </w:rPr>
        <w:t>ilateral Ministerial meetings held with the U</w:t>
      </w:r>
      <w:r w:rsidR="0044369B">
        <w:rPr>
          <w:rFonts w:ascii="Arial" w:hAnsi="Arial" w:cs="Arial"/>
          <w:bCs/>
          <w:sz w:val="24"/>
          <w:szCs w:val="24"/>
          <w:lang w:val="en-GB"/>
        </w:rPr>
        <w:t xml:space="preserve">nited </w:t>
      </w:r>
      <w:r w:rsidR="00F95C19" w:rsidRPr="00F95C19">
        <w:rPr>
          <w:rFonts w:ascii="Arial" w:hAnsi="Arial" w:cs="Arial"/>
          <w:bCs/>
          <w:sz w:val="24"/>
          <w:szCs w:val="24"/>
          <w:lang w:val="en-GB"/>
        </w:rPr>
        <w:t>S</w:t>
      </w:r>
      <w:r w:rsidR="0044369B">
        <w:rPr>
          <w:rFonts w:ascii="Arial" w:hAnsi="Arial" w:cs="Arial"/>
          <w:bCs/>
          <w:sz w:val="24"/>
          <w:szCs w:val="24"/>
          <w:lang w:val="en-GB"/>
        </w:rPr>
        <w:t xml:space="preserve">tates </w:t>
      </w:r>
      <w:r w:rsidR="00F95C19" w:rsidRPr="00F95C19">
        <w:rPr>
          <w:rFonts w:ascii="Arial" w:hAnsi="Arial" w:cs="Arial"/>
          <w:bCs/>
          <w:sz w:val="24"/>
          <w:szCs w:val="24"/>
          <w:lang w:val="en-GB"/>
        </w:rPr>
        <w:t>T</w:t>
      </w:r>
      <w:r w:rsidR="0044369B">
        <w:rPr>
          <w:rFonts w:ascii="Arial" w:hAnsi="Arial" w:cs="Arial"/>
          <w:bCs/>
          <w:sz w:val="24"/>
          <w:szCs w:val="24"/>
          <w:lang w:val="en-GB"/>
        </w:rPr>
        <w:t xml:space="preserve">rade </w:t>
      </w:r>
      <w:r w:rsidR="00F95C19" w:rsidRPr="00F95C19">
        <w:rPr>
          <w:rFonts w:ascii="Arial" w:hAnsi="Arial" w:cs="Arial"/>
          <w:bCs/>
          <w:sz w:val="24"/>
          <w:szCs w:val="24"/>
          <w:lang w:val="en-GB"/>
        </w:rPr>
        <w:t>R</w:t>
      </w:r>
      <w:r w:rsidR="0044369B">
        <w:rPr>
          <w:rFonts w:ascii="Arial" w:hAnsi="Arial" w:cs="Arial"/>
          <w:bCs/>
          <w:sz w:val="24"/>
          <w:szCs w:val="24"/>
          <w:lang w:val="en-GB"/>
        </w:rPr>
        <w:t>epresentative (USTR)</w:t>
      </w:r>
      <w:r w:rsidR="00F95C19" w:rsidRPr="00F95C19">
        <w:rPr>
          <w:rFonts w:ascii="Arial" w:hAnsi="Arial" w:cs="Arial"/>
          <w:bCs/>
          <w:sz w:val="24"/>
          <w:szCs w:val="24"/>
          <w:lang w:val="en-GB"/>
        </w:rPr>
        <w:t xml:space="preserve"> and the US Department of Agriculture in December 20</w:t>
      </w:r>
      <w:r w:rsidR="0044369B">
        <w:rPr>
          <w:rFonts w:ascii="Arial" w:hAnsi="Arial" w:cs="Arial"/>
          <w:bCs/>
          <w:sz w:val="24"/>
          <w:szCs w:val="24"/>
          <w:lang w:val="en-GB"/>
        </w:rPr>
        <w:t>19</w:t>
      </w:r>
      <w:r w:rsidR="00F95C19" w:rsidRPr="00F95C19">
        <w:rPr>
          <w:rFonts w:ascii="Arial" w:hAnsi="Arial" w:cs="Arial"/>
          <w:bCs/>
          <w:sz w:val="24"/>
          <w:szCs w:val="24"/>
          <w:lang w:val="en-GB"/>
        </w:rPr>
        <w:t xml:space="preserve"> on broad trade policy issues and bilateral trade challenges and opportunities. </w:t>
      </w:r>
    </w:p>
    <w:p w:rsidR="008E25D3" w:rsidRPr="008E25D3"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2019:</w:t>
      </w:r>
      <w:r>
        <w:rPr>
          <w:rFonts w:ascii="Arial" w:hAnsi="Arial" w:cs="Arial"/>
          <w:bCs/>
          <w:sz w:val="24"/>
          <w:szCs w:val="24"/>
          <w:lang w:val="en-GB"/>
        </w:rPr>
        <w:t xml:space="preserve"> Development of integrated approach at sector level</w:t>
      </w:r>
      <w:r w:rsidR="00DE0373">
        <w:rPr>
          <w:rFonts w:ascii="Arial" w:hAnsi="Arial" w:cs="Arial"/>
          <w:bCs/>
          <w:sz w:val="24"/>
          <w:szCs w:val="24"/>
          <w:lang w:val="en-GB"/>
        </w:rPr>
        <w:t xml:space="preserve"> on </w:t>
      </w:r>
      <w:r>
        <w:rPr>
          <w:rFonts w:ascii="Arial" w:hAnsi="Arial" w:cs="Arial"/>
          <w:bCs/>
          <w:sz w:val="24"/>
          <w:szCs w:val="24"/>
          <w:lang w:val="en-GB"/>
        </w:rPr>
        <w:t>trade, competitiveness and procurement matters for poultry industry and clothing, textiles, footwear and leather products</w:t>
      </w:r>
    </w:p>
    <w:p w:rsidR="008E25D3" w:rsidRPr="00F95C19" w:rsidRDefault="00DE037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2019/</w:t>
      </w:r>
      <w:r w:rsidR="008E25D3" w:rsidRPr="00DE0373">
        <w:rPr>
          <w:rFonts w:ascii="Arial" w:hAnsi="Arial" w:cs="Arial"/>
          <w:b/>
          <w:bCs/>
          <w:sz w:val="24"/>
          <w:szCs w:val="24"/>
          <w:lang w:val="en-GB"/>
        </w:rPr>
        <w:t>20:</w:t>
      </w:r>
      <w:r w:rsidR="008E25D3">
        <w:rPr>
          <w:rFonts w:ascii="Arial" w:hAnsi="Arial" w:cs="Arial"/>
          <w:bCs/>
          <w:sz w:val="24"/>
          <w:szCs w:val="24"/>
          <w:lang w:val="en-GB"/>
        </w:rPr>
        <w:t xml:space="preserve"> AfCFTA: Development of a country approach on specified Rules of Origin and SA submission (through SACU) of offer on tariff reduction </w:t>
      </w:r>
    </w:p>
    <w:p w:rsidR="00F95C19" w:rsidRPr="0044369B"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2020:</w:t>
      </w:r>
      <w:r>
        <w:rPr>
          <w:rFonts w:ascii="Arial" w:hAnsi="Arial" w:cs="Arial"/>
          <w:bCs/>
          <w:sz w:val="24"/>
          <w:szCs w:val="24"/>
          <w:lang w:val="en-GB"/>
        </w:rPr>
        <w:t xml:space="preserve"> </w:t>
      </w:r>
      <w:r w:rsidR="00DE0373">
        <w:rPr>
          <w:rFonts w:ascii="Arial" w:hAnsi="Arial" w:cs="Arial"/>
          <w:bCs/>
          <w:sz w:val="24"/>
          <w:szCs w:val="24"/>
          <w:lang w:val="en-GB"/>
        </w:rPr>
        <w:t>Trade policy adjustments to take account of Covid-pandemic: trade-related regulations issues; and p</w:t>
      </w:r>
      <w:r w:rsidR="00F95C19" w:rsidRPr="00F95C19">
        <w:rPr>
          <w:rFonts w:ascii="Arial" w:hAnsi="Arial" w:cs="Arial"/>
          <w:bCs/>
          <w:sz w:val="24"/>
          <w:szCs w:val="24"/>
          <w:lang w:val="en-GB"/>
        </w:rPr>
        <w:t xml:space="preserve">roposal submitted at the WTO for a Waiver of specific provisions of the Trade-related Aspects of Intellectual Property Rights to overcome shortfalls in the equitable supply of affordable COVID-19 vaccines. </w:t>
      </w:r>
    </w:p>
    <w:p w:rsidR="00F95C19" w:rsidRPr="00F95C19" w:rsidRDefault="008E25D3" w:rsidP="00C87A78">
      <w:pPr>
        <w:pStyle w:val="ListParagraph"/>
        <w:numPr>
          <w:ilvl w:val="0"/>
          <w:numId w:val="29"/>
        </w:numPr>
        <w:spacing w:after="0" w:line="276" w:lineRule="auto"/>
        <w:ind w:left="426" w:hanging="426"/>
        <w:jc w:val="both"/>
        <w:rPr>
          <w:rFonts w:ascii="Arial" w:hAnsi="Arial" w:cs="Arial"/>
          <w:bCs/>
          <w:sz w:val="24"/>
          <w:szCs w:val="24"/>
          <w:lang w:val="en-GB"/>
        </w:rPr>
      </w:pPr>
      <w:r w:rsidRPr="00DE0373">
        <w:rPr>
          <w:rFonts w:ascii="Arial" w:hAnsi="Arial" w:cs="Arial"/>
          <w:b/>
          <w:bCs/>
          <w:sz w:val="24"/>
          <w:szCs w:val="24"/>
          <w:lang w:val="en-GB"/>
        </w:rPr>
        <w:t>2021:</w:t>
      </w:r>
      <w:r>
        <w:rPr>
          <w:rFonts w:ascii="Arial" w:hAnsi="Arial" w:cs="Arial"/>
          <w:bCs/>
          <w:sz w:val="24"/>
          <w:szCs w:val="24"/>
          <w:lang w:val="en-GB"/>
        </w:rPr>
        <w:t xml:space="preserve"> integrated approach between trade and a range of policy areas, including industrialisation, transformation, building a capable state and local economic development set out in t</w:t>
      </w:r>
      <w:r w:rsidR="00F95C19" w:rsidRPr="00F95C19">
        <w:rPr>
          <w:rFonts w:ascii="Arial" w:hAnsi="Arial" w:cs="Arial"/>
          <w:bCs/>
          <w:sz w:val="24"/>
          <w:szCs w:val="24"/>
          <w:lang w:val="en-GB"/>
        </w:rPr>
        <w:t xml:space="preserve">he DTIC Annual Performance Plan for 2021/22 tabled in Parliament in March 2021. </w:t>
      </w:r>
    </w:p>
    <w:p w:rsidR="0051174C" w:rsidRPr="00F95C19" w:rsidRDefault="0051174C" w:rsidP="00C87A78">
      <w:pPr>
        <w:spacing w:after="0" w:line="276" w:lineRule="auto"/>
        <w:jc w:val="both"/>
        <w:rPr>
          <w:rFonts w:ascii="Arial" w:hAnsi="Arial" w:cs="Arial"/>
          <w:bCs/>
          <w:sz w:val="24"/>
          <w:szCs w:val="24"/>
          <w:lang w:val="en-GB"/>
        </w:rPr>
      </w:pPr>
    </w:p>
    <w:p w:rsidR="00BB36A7" w:rsidRPr="00F95C19" w:rsidRDefault="00BB36A7" w:rsidP="00F95C19">
      <w:pPr>
        <w:spacing w:after="0" w:line="276" w:lineRule="auto"/>
        <w:ind w:left="567" w:hanging="567"/>
        <w:jc w:val="center"/>
        <w:rPr>
          <w:rFonts w:ascii="Arial" w:hAnsi="Arial" w:cs="Arial"/>
          <w:b/>
          <w:bCs/>
          <w:sz w:val="24"/>
          <w:szCs w:val="24"/>
        </w:rPr>
      </w:pPr>
    </w:p>
    <w:p w:rsidR="004D2421" w:rsidRPr="00F95C19" w:rsidRDefault="004D2421" w:rsidP="00F95C19">
      <w:pPr>
        <w:spacing w:after="0" w:line="276" w:lineRule="auto"/>
        <w:ind w:left="567" w:hanging="567"/>
        <w:jc w:val="center"/>
        <w:rPr>
          <w:rFonts w:ascii="Arial" w:hAnsi="Arial" w:cs="Arial"/>
          <w:b/>
          <w:bCs/>
          <w:sz w:val="24"/>
          <w:szCs w:val="24"/>
        </w:rPr>
      </w:pPr>
    </w:p>
    <w:p w:rsidR="004D2421" w:rsidRPr="00F95C19" w:rsidRDefault="004D2421" w:rsidP="00F95C19">
      <w:pPr>
        <w:spacing w:after="0" w:line="276" w:lineRule="auto"/>
        <w:ind w:left="567" w:hanging="567"/>
        <w:jc w:val="center"/>
        <w:rPr>
          <w:rFonts w:ascii="Arial" w:hAnsi="Arial" w:cs="Arial"/>
          <w:b/>
          <w:bCs/>
          <w:sz w:val="24"/>
          <w:szCs w:val="24"/>
        </w:rPr>
      </w:pPr>
    </w:p>
    <w:p w:rsidR="0031644A" w:rsidRPr="00F95C19" w:rsidRDefault="00C87A78" w:rsidP="00C87A78">
      <w:pPr>
        <w:spacing w:line="276" w:lineRule="auto"/>
        <w:jc w:val="center"/>
        <w:rPr>
          <w:rFonts w:ascii="Arial" w:eastAsia="Calibri" w:hAnsi="Arial" w:cs="Arial"/>
          <w:b/>
          <w:sz w:val="24"/>
          <w:szCs w:val="24"/>
        </w:rPr>
      </w:pPr>
      <w:r>
        <w:rPr>
          <w:rFonts w:ascii="Arial" w:hAnsi="Arial" w:cs="Arial"/>
          <w:b/>
          <w:bCs/>
          <w:sz w:val="24"/>
          <w:szCs w:val="24"/>
        </w:rPr>
        <w:t>-END-</w:t>
      </w:r>
      <w:bookmarkStart w:id="0" w:name="_GoBack"/>
      <w:bookmarkEnd w:id="0"/>
    </w:p>
    <w:p w:rsidR="00EA5109" w:rsidRPr="00F95C19" w:rsidRDefault="00EA5109" w:rsidP="00F95C19">
      <w:pPr>
        <w:spacing w:after="0" w:line="276" w:lineRule="auto"/>
        <w:ind w:left="720" w:hanging="720"/>
        <w:jc w:val="both"/>
        <w:outlineLvl w:val="0"/>
        <w:rPr>
          <w:rFonts w:ascii="Arial" w:eastAsia="Calibri" w:hAnsi="Arial" w:cs="Arial"/>
          <w:b/>
          <w:bCs/>
          <w:sz w:val="24"/>
          <w:szCs w:val="24"/>
        </w:rPr>
      </w:pPr>
    </w:p>
    <w:sectPr w:rsidR="00EA5109" w:rsidRPr="00F95C19" w:rsidSect="004D2421">
      <w:headerReference w:type="default" r:id="rId9"/>
      <w:footerReference w:type="default" r:id="rId10"/>
      <w:pgSz w:w="11906" w:h="16838"/>
      <w:pgMar w:top="993"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74" w:rsidRDefault="00BD0A74" w:rsidP="006D054B">
      <w:pPr>
        <w:spacing w:after="0" w:line="240" w:lineRule="auto"/>
      </w:pPr>
      <w:r>
        <w:separator/>
      </w:r>
    </w:p>
  </w:endnote>
  <w:endnote w:type="continuationSeparator" w:id="0">
    <w:p w:rsidR="00BD0A74" w:rsidRDefault="00BD0A74"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A35A07" w:rsidRDefault="00C73D6A">
        <w:pPr>
          <w:pStyle w:val="Footer"/>
          <w:jc w:val="center"/>
        </w:pPr>
        <w:r>
          <w:fldChar w:fldCharType="begin"/>
        </w:r>
        <w:r w:rsidR="00A35A07">
          <w:instrText xml:space="preserve"> PAGE   \* MERGEFORMAT </w:instrText>
        </w:r>
        <w:r>
          <w:fldChar w:fldCharType="separate"/>
        </w:r>
        <w:r w:rsidR="00453FC2">
          <w:rPr>
            <w:noProof/>
          </w:rPr>
          <w:t>1</w:t>
        </w:r>
        <w:r>
          <w:rPr>
            <w:noProof/>
          </w:rPr>
          <w:fldChar w:fldCharType="end"/>
        </w:r>
      </w:p>
    </w:sdtContent>
  </w:sdt>
  <w:p w:rsidR="00A35A07" w:rsidRDefault="00A35A07" w:rsidP="00C90387">
    <w:pPr>
      <w:pStyle w:val="Footer"/>
      <w:jc w:val="center"/>
    </w:pPr>
    <w:r>
      <w:t>Parliamentary Question: NA PQ 537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74" w:rsidRDefault="00BD0A74" w:rsidP="006D054B">
      <w:pPr>
        <w:spacing w:after="0" w:line="240" w:lineRule="auto"/>
      </w:pPr>
      <w:r>
        <w:separator/>
      </w:r>
    </w:p>
  </w:footnote>
  <w:footnote w:type="continuationSeparator" w:id="0">
    <w:p w:rsidR="00BD0A74" w:rsidRDefault="00BD0A74"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07" w:rsidRDefault="00A35A07" w:rsidP="00B236EF">
    <w:pPr>
      <w:pStyle w:val="Header"/>
    </w:pPr>
  </w:p>
  <w:p w:rsidR="00A35A07" w:rsidRDefault="00A35A07" w:rsidP="00B236EF">
    <w:pPr>
      <w:pStyle w:val="Header"/>
      <w:ind w:left="-567"/>
    </w:pPr>
  </w:p>
  <w:p w:rsidR="00A35A07" w:rsidRDefault="00A35A07"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5F71C1"/>
    <w:multiLevelType w:val="hybridMultilevel"/>
    <w:tmpl w:val="A752853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5"/>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6"/>
  </w:num>
  <w:num w:numId="7">
    <w:abstractNumId w:val="5"/>
  </w:num>
  <w:num w:numId="8">
    <w:abstractNumId w:val="21"/>
  </w:num>
  <w:num w:numId="9">
    <w:abstractNumId w:val="16"/>
  </w:num>
  <w:num w:numId="10">
    <w:abstractNumId w:val="0"/>
  </w:num>
  <w:num w:numId="11">
    <w:abstractNumId w:val="13"/>
  </w:num>
  <w:num w:numId="12">
    <w:abstractNumId w:val="18"/>
  </w:num>
  <w:num w:numId="13">
    <w:abstractNumId w:val="24"/>
  </w:num>
  <w:num w:numId="14">
    <w:abstractNumId w:val="11"/>
  </w:num>
  <w:num w:numId="15">
    <w:abstractNumId w:val="3"/>
  </w:num>
  <w:num w:numId="16">
    <w:abstractNumId w:val="12"/>
  </w:num>
  <w:num w:numId="17">
    <w:abstractNumId w:val="20"/>
  </w:num>
  <w:num w:numId="18">
    <w:abstractNumId w:val="15"/>
  </w:num>
  <w:num w:numId="19">
    <w:abstractNumId w:val="19"/>
  </w:num>
  <w:num w:numId="20">
    <w:abstractNumId w:val="2"/>
  </w:num>
  <w:num w:numId="21">
    <w:abstractNumId w:val="22"/>
  </w:num>
  <w:num w:numId="22">
    <w:abstractNumId w:val="10"/>
  </w:num>
  <w:num w:numId="23">
    <w:abstractNumId w:val="14"/>
  </w:num>
  <w:num w:numId="24">
    <w:abstractNumId w:val="8"/>
  </w:num>
  <w:num w:numId="25">
    <w:abstractNumId w:val="9"/>
  </w:num>
  <w:num w:numId="26">
    <w:abstractNumId w:val="4"/>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6948"/>
    <w:rsid w:val="000077EE"/>
    <w:rsid w:val="0003191E"/>
    <w:rsid w:val="00031D1F"/>
    <w:rsid w:val="000359ED"/>
    <w:rsid w:val="00041805"/>
    <w:rsid w:val="0004293F"/>
    <w:rsid w:val="00046D78"/>
    <w:rsid w:val="0006536D"/>
    <w:rsid w:val="00071E10"/>
    <w:rsid w:val="000B0517"/>
    <w:rsid w:val="000B1B9D"/>
    <w:rsid w:val="000B2DB1"/>
    <w:rsid w:val="000C4638"/>
    <w:rsid w:val="000D3BB4"/>
    <w:rsid w:val="000D608B"/>
    <w:rsid w:val="00130895"/>
    <w:rsid w:val="001363E3"/>
    <w:rsid w:val="0016019E"/>
    <w:rsid w:val="001602E3"/>
    <w:rsid w:val="00172E12"/>
    <w:rsid w:val="00176749"/>
    <w:rsid w:val="00182352"/>
    <w:rsid w:val="001877AA"/>
    <w:rsid w:val="0019258D"/>
    <w:rsid w:val="00197D18"/>
    <w:rsid w:val="001A33E4"/>
    <w:rsid w:val="00200ED3"/>
    <w:rsid w:val="00212F7F"/>
    <w:rsid w:val="002150F1"/>
    <w:rsid w:val="00226F0C"/>
    <w:rsid w:val="002329A1"/>
    <w:rsid w:val="0023521C"/>
    <w:rsid w:val="0024155F"/>
    <w:rsid w:val="00242E7F"/>
    <w:rsid w:val="002447C0"/>
    <w:rsid w:val="002459C4"/>
    <w:rsid w:val="00247DE4"/>
    <w:rsid w:val="00251810"/>
    <w:rsid w:val="002534B7"/>
    <w:rsid w:val="00255DA0"/>
    <w:rsid w:val="00256500"/>
    <w:rsid w:val="0028153A"/>
    <w:rsid w:val="002855D7"/>
    <w:rsid w:val="0028785A"/>
    <w:rsid w:val="0029231C"/>
    <w:rsid w:val="00294D96"/>
    <w:rsid w:val="002A1D56"/>
    <w:rsid w:val="002A46DB"/>
    <w:rsid w:val="002A5258"/>
    <w:rsid w:val="002B0ED2"/>
    <w:rsid w:val="002B41BC"/>
    <w:rsid w:val="002C1B9E"/>
    <w:rsid w:val="002C75FE"/>
    <w:rsid w:val="002D0830"/>
    <w:rsid w:val="002D69F4"/>
    <w:rsid w:val="00301F58"/>
    <w:rsid w:val="0031644A"/>
    <w:rsid w:val="00332C21"/>
    <w:rsid w:val="00341474"/>
    <w:rsid w:val="00351BDA"/>
    <w:rsid w:val="00354280"/>
    <w:rsid w:val="003632E6"/>
    <w:rsid w:val="00383F6C"/>
    <w:rsid w:val="003848F2"/>
    <w:rsid w:val="00385BF1"/>
    <w:rsid w:val="003950AB"/>
    <w:rsid w:val="003A3726"/>
    <w:rsid w:val="003B11D5"/>
    <w:rsid w:val="003B2450"/>
    <w:rsid w:val="003C5DAD"/>
    <w:rsid w:val="003D6475"/>
    <w:rsid w:val="003E3119"/>
    <w:rsid w:val="00402C36"/>
    <w:rsid w:val="00405055"/>
    <w:rsid w:val="00414059"/>
    <w:rsid w:val="00414E30"/>
    <w:rsid w:val="00431C51"/>
    <w:rsid w:val="00437E8B"/>
    <w:rsid w:val="0044369B"/>
    <w:rsid w:val="004469F4"/>
    <w:rsid w:val="00453FC2"/>
    <w:rsid w:val="0046523F"/>
    <w:rsid w:val="00484CF4"/>
    <w:rsid w:val="00493614"/>
    <w:rsid w:val="004B2BE0"/>
    <w:rsid w:val="004C432F"/>
    <w:rsid w:val="004D0F02"/>
    <w:rsid w:val="004D2421"/>
    <w:rsid w:val="004E2E71"/>
    <w:rsid w:val="004F429F"/>
    <w:rsid w:val="004F6E62"/>
    <w:rsid w:val="0051174C"/>
    <w:rsid w:val="0051724E"/>
    <w:rsid w:val="00522CB2"/>
    <w:rsid w:val="00526B52"/>
    <w:rsid w:val="00532838"/>
    <w:rsid w:val="00534BF4"/>
    <w:rsid w:val="005401FB"/>
    <w:rsid w:val="00546254"/>
    <w:rsid w:val="0054791A"/>
    <w:rsid w:val="005624DD"/>
    <w:rsid w:val="00567F57"/>
    <w:rsid w:val="00575A3A"/>
    <w:rsid w:val="00597203"/>
    <w:rsid w:val="005A5FEE"/>
    <w:rsid w:val="005C3727"/>
    <w:rsid w:val="005D3B6A"/>
    <w:rsid w:val="005E2A2C"/>
    <w:rsid w:val="005E30FD"/>
    <w:rsid w:val="00622A03"/>
    <w:rsid w:val="00640078"/>
    <w:rsid w:val="006420D0"/>
    <w:rsid w:val="00643EF2"/>
    <w:rsid w:val="006445D1"/>
    <w:rsid w:val="00645F45"/>
    <w:rsid w:val="00666239"/>
    <w:rsid w:val="006847A1"/>
    <w:rsid w:val="006932B2"/>
    <w:rsid w:val="00694349"/>
    <w:rsid w:val="006B0FE2"/>
    <w:rsid w:val="006B1132"/>
    <w:rsid w:val="006C6F31"/>
    <w:rsid w:val="006D054B"/>
    <w:rsid w:val="006E5CFB"/>
    <w:rsid w:val="00707C88"/>
    <w:rsid w:val="007143E7"/>
    <w:rsid w:val="007145E5"/>
    <w:rsid w:val="0072078E"/>
    <w:rsid w:val="007477F1"/>
    <w:rsid w:val="00761225"/>
    <w:rsid w:val="0078637F"/>
    <w:rsid w:val="00792751"/>
    <w:rsid w:val="007B14C3"/>
    <w:rsid w:val="007B3ACF"/>
    <w:rsid w:val="007B412F"/>
    <w:rsid w:val="007B7DA8"/>
    <w:rsid w:val="007D1596"/>
    <w:rsid w:val="007D1D58"/>
    <w:rsid w:val="007D2A4F"/>
    <w:rsid w:val="007E5229"/>
    <w:rsid w:val="00803209"/>
    <w:rsid w:val="00833E81"/>
    <w:rsid w:val="00841350"/>
    <w:rsid w:val="008528EA"/>
    <w:rsid w:val="00853BDC"/>
    <w:rsid w:val="00855ABA"/>
    <w:rsid w:val="008634FA"/>
    <w:rsid w:val="00867847"/>
    <w:rsid w:val="00872FA0"/>
    <w:rsid w:val="00892467"/>
    <w:rsid w:val="00894F69"/>
    <w:rsid w:val="008A796E"/>
    <w:rsid w:val="008D06C0"/>
    <w:rsid w:val="008E25D3"/>
    <w:rsid w:val="00911828"/>
    <w:rsid w:val="00916351"/>
    <w:rsid w:val="0093226B"/>
    <w:rsid w:val="00936D98"/>
    <w:rsid w:val="009433BE"/>
    <w:rsid w:val="0094388C"/>
    <w:rsid w:val="00962A53"/>
    <w:rsid w:val="0096318A"/>
    <w:rsid w:val="009644E4"/>
    <w:rsid w:val="00965BB4"/>
    <w:rsid w:val="00970287"/>
    <w:rsid w:val="009773B1"/>
    <w:rsid w:val="0099215A"/>
    <w:rsid w:val="009A0FF0"/>
    <w:rsid w:val="009C3E7C"/>
    <w:rsid w:val="009D6756"/>
    <w:rsid w:val="009D6C77"/>
    <w:rsid w:val="009E0520"/>
    <w:rsid w:val="009F3102"/>
    <w:rsid w:val="009F4DA1"/>
    <w:rsid w:val="00A01A30"/>
    <w:rsid w:val="00A1169C"/>
    <w:rsid w:val="00A1795F"/>
    <w:rsid w:val="00A21156"/>
    <w:rsid w:val="00A35A07"/>
    <w:rsid w:val="00A46E81"/>
    <w:rsid w:val="00A557B1"/>
    <w:rsid w:val="00A81AFD"/>
    <w:rsid w:val="00A8329E"/>
    <w:rsid w:val="00A84F6F"/>
    <w:rsid w:val="00A922E1"/>
    <w:rsid w:val="00AB0100"/>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12C2"/>
    <w:rsid w:val="00B43F0E"/>
    <w:rsid w:val="00B52EDE"/>
    <w:rsid w:val="00B536E7"/>
    <w:rsid w:val="00B54A00"/>
    <w:rsid w:val="00B55CFF"/>
    <w:rsid w:val="00B61B07"/>
    <w:rsid w:val="00B66060"/>
    <w:rsid w:val="00B66578"/>
    <w:rsid w:val="00B70823"/>
    <w:rsid w:val="00B77AE5"/>
    <w:rsid w:val="00B9157F"/>
    <w:rsid w:val="00B9226A"/>
    <w:rsid w:val="00BA3106"/>
    <w:rsid w:val="00BA3DD8"/>
    <w:rsid w:val="00BB36A7"/>
    <w:rsid w:val="00BB497F"/>
    <w:rsid w:val="00BB62D5"/>
    <w:rsid w:val="00BC607B"/>
    <w:rsid w:val="00BD0A74"/>
    <w:rsid w:val="00BD5D6F"/>
    <w:rsid w:val="00BF6C67"/>
    <w:rsid w:val="00C02FFC"/>
    <w:rsid w:val="00C0398D"/>
    <w:rsid w:val="00C05717"/>
    <w:rsid w:val="00C07922"/>
    <w:rsid w:val="00C1754E"/>
    <w:rsid w:val="00C23C1E"/>
    <w:rsid w:val="00C26949"/>
    <w:rsid w:val="00C27DBB"/>
    <w:rsid w:val="00C4613A"/>
    <w:rsid w:val="00C56123"/>
    <w:rsid w:val="00C56886"/>
    <w:rsid w:val="00C60F52"/>
    <w:rsid w:val="00C71BF9"/>
    <w:rsid w:val="00C73D6A"/>
    <w:rsid w:val="00C84F7E"/>
    <w:rsid w:val="00C8544C"/>
    <w:rsid w:val="00C85DD8"/>
    <w:rsid w:val="00C87A78"/>
    <w:rsid w:val="00C90387"/>
    <w:rsid w:val="00C90FBF"/>
    <w:rsid w:val="00C9270E"/>
    <w:rsid w:val="00C96927"/>
    <w:rsid w:val="00CC0725"/>
    <w:rsid w:val="00CC7044"/>
    <w:rsid w:val="00CE0B1C"/>
    <w:rsid w:val="00D07D2A"/>
    <w:rsid w:val="00D3539F"/>
    <w:rsid w:val="00D37942"/>
    <w:rsid w:val="00D410C1"/>
    <w:rsid w:val="00D462DD"/>
    <w:rsid w:val="00D52868"/>
    <w:rsid w:val="00D66290"/>
    <w:rsid w:val="00D722D0"/>
    <w:rsid w:val="00D75E12"/>
    <w:rsid w:val="00D81223"/>
    <w:rsid w:val="00D85769"/>
    <w:rsid w:val="00D906CA"/>
    <w:rsid w:val="00D93BDC"/>
    <w:rsid w:val="00D95D80"/>
    <w:rsid w:val="00D97348"/>
    <w:rsid w:val="00DD063F"/>
    <w:rsid w:val="00DE0373"/>
    <w:rsid w:val="00DE45A5"/>
    <w:rsid w:val="00DE4BB9"/>
    <w:rsid w:val="00E44BAD"/>
    <w:rsid w:val="00E554C9"/>
    <w:rsid w:val="00E6096E"/>
    <w:rsid w:val="00E64EE5"/>
    <w:rsid w:val="00E846E6"/>
    <w:rsid w:val="00E900D5"/>
    <w:rsid w:val="00EA2BA8"/>
    <w:rsid w:val="00EA5109"/>
    <w:rsid w:val="00EA5F5C"/>
    <w:rsid w:val="00EA6E2E"/>
    <w:rsid w:val="00EE05BB"/>
    <w:rsid w:val="00EE6E0C"/>
    <w:rsid w:val="00EF6351"/>
    <w:rsid w:val="00EF6946"/>
    <w:rsid w:val="00F04A3B"/>
    <w:rsid w:val="00F065DF"/>
    <w:rsid w:val="00F15796"/>
    <w:rsid w:val="00F32232"/>
    <w:rsid w:val="00F51CB8"/>
    <w:rsid w:val="00F671DD"/>
    <w:rsid w:val="00F716B6"/>
    <w:rsid w:val="00F8074E"/>
    <w:rsid w:val="00F9020F"/>
    <w:rsid w:val="00F95C19"/>
    <w:rsid w:val="00FA50D4"/>
    <w:rsid w:val="00FB585C"/>
    <w:rsid w:val="00FB765E"/>
    <w:rsid w:val="00FC3609"/>
    <w:rsid w:val="00FC502E"/>
    <w:rsid w:val="00FD0332"/>
    <w:rsid w:val="00FD7453"/>
    <w:rsid w:val="00FE2F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5A7F-B8FE-4399-9D24-362AF800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2021-03-18T10:30:00Z</cp:lastPrinted>
  <dcterms:created xsi:type="dcterms:W3CDTF">2021-03-30T07:44:00Z</dcterms:created>
  <dcterms:modified xsi:type="dcterms:W3CDTF">2021-03-30T07:44:00Z</dcterms:modified>
</cp:coreProperties>
</file>