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B4733D">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-252730</wp:posOffset>
            </wp:positionV>
            <wp:extent cx="1162050" cy="1409065"/>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409065"/>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566567">
        <w:rPr>
          <w:rFonts w:ascii="Arial" w:hAnsi="Arial" w:cs="Arial"/>
          <w:b/>
          <w:sz w:val="24"/>
          <w:szCs w:val="24"/>
        </w:rPr>
        <w:t xml:space="preserve">.: </w:t>
      </w:r>
      <w:r w:rsidR="00984C68">
        <w:rPr>
          <w:rFonts w:ascii="Arial" w:hAnsi="Arial" w:cs="Arial"/>
          <w:b/>
          <w:sz w:val="24"/>
          <w:szCs w:val="24"/>
        </w:rPr>
        <w:t xml:space="preserve"> </w:t>
      </w:r>
      <w:r w:rsidR="00984C68" w:rsidRPr="00984C68">
        <w:rPr>
          <w:rFonts w:ascii="Arial" w:hAnsi="Arial" w:cs="Arial"/>
          <w:b/>
          <w:sz w:val="24"/>
          <w:szCs w:val="24"/>
        </w:rPr>
        <w:t>534.</w:t>
      </w:r>
      <w:r w:rsidR="00A0326A" w:rsidRPr="00A250F5">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984C68" w:rsidRPr="00984C68" w:rsidRDefault="00984C68" w:rsidP="00984C68">
      <w:pPr>
        <w:spacing w:before="100" w:beforeAutospacing="1" w:after="100" w:afterAutospacing="1" w:line="276" w:lineRule="auto"/>
        <w:jc w:val="both"/>
        <w:outlineLvl w:val="0"/>
        <w:rPr>
          <w:rFonts w:ascii="Arial" w:hAnsi="Arial" w:cs="Arial"/>
          <w:b/>
        </w:rPr>
      </w:pPr>
      <w:r w:rsidRPr="00984C68">
        <w:rPr>
          <w:rFonts w:ascii="Arial" w:hAnsi="Arial" w:cs="Arial"/>
          <w:b/>
        </w:rPr>
        <w:t>Ms A T Love</w:t>
      </w:r>
      <w:r>
        <w:rPr>
          <w:rFonts w:ascii="Arial" w:hAnsi="Arial" w:cs="Arial"/>
          <w:b/>
        </w:rPr>
        <w:t>more (DA) to ask the Minister for</w:t>
      </w:r>
      <w:r w:rsidRPr="00984C68">
        <w:rPr>
          <w:rFonts w:ascii="Arial" w:hAnsi="Arial" w:cs="Arial"/>
          <w:b/>
        </w:rPr>
        <w:t xml:space="preserve"> Public Service and Administration:</w:t>
      </w:r>
    </w:p>
    <w:p w:rsidR="00984C68" w:rsidRPr="00984C68" w:rsidRDefault="00984C68" w:rsidP="00984C68">
      <w:pPr>
        <w:spacing w:before="100" w:beforeAutospacing="1" w:after="100" w:afterAutospacing="1" w:line="276" w:lineRule="auto"/>
        <w:jc w:val="both"/>
        <w:rPr>
          <w:rFonts w:ascii="Arial" w:hAnsi="Arial" w:cs="Arial"/>
        </w:rPr>
      </w:pPr>
      <w:r w:rsidRPr="00984C68">
        <w:rPr>
          <w:rFonts w:ascii="Arial" w:hAnsi="Arial" w:cs="Arial"/>
        </w:rPr>
        <w:t>With reference to commitments made during his department’s Budget Vote speech on 13 May 2015, what are the relevant details of the (a)(i) business processes mapped, (ii) standard operating procedures developed and (iii) organisational functionality assessments conducted in response to his department’s commitment to its Operations Management Framework and (b) strategy for providing resultant support to poor performing departments that was drafted for consultation with stakeholders in the Public Service in terms of the (i) strategy for providing support, (ii) poor performing departments referred to in the speech and targeted by the strategy and (iii) consultation that has taken place on the strategy his department committed to?</w:t>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sidRPr="00984C68">
        <w:rPr>
          <w:rFonts w:ascii="Arial" w:hAnsi="Arial" w:cs="Arial"/>
        </w:rPr>
        <w:tab/>
      </w:r>
      <w:r>
        <w:rPr>
          <w:rFonts w:ascii="Arial" w:hAnsi="Arial" w:cs="Arial"/>
        </w:rPr>
        <w:tab/>
      </w:r>
      <w:r w:rsidRPr="00984C68">
        <w:rPr>
          <w:rFonts w:ascii="Arial" w:hAnsi="Arial" w:cs="Arial"/>
        </w:rPr>
        <w:t>NW640E</w:t>
      </w:r>
    </w:p>
    <w:p w:rsidR="00696B6D" w:rsidRDefault="00696B6D" w:rsidP="005B7540">
      <w:pPr>
        <w:pStyle w:val="NoSpacing"/>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Pr="00696B6D" w:rsidRDefault="00696B6D" w:rsidP="00180334">
      <w:pPr>
        <w:pStyle w:val="NoSpacing"/>
        <w:spacing w:line="276" w:lineRule="auto"/>
        <w:jc w:val="both"/>
        <w:rPr>
          <w:rFonts w:ascii="Arial" w:hAnsi="Arial" w:cs="Arial"/>
          <w:sz w:val="24"/>
          <w:szCs w:val="24"/>
        </w:rPr>
      </w:pPr>
      <w:r w:rsidRPr="00696B6D">
        <w:rPr>
          <w:rFonts w:ascii="Arial" w:hAnsi="Arial" w:cs="Arial"/>
          <w:sz w:val="24"/>
          <w:szCs w:val="24"/>
        </w:rPr>
        <w:t>(a)</w:t>
      </w:r>
      <w:r w:rsidR="00180334">
        <w:rPr>
          <w:rFonts w:ascii="Arial" w:hAnsi="Arial" w:cs="Arial"/>
          <w:sz w:val="24"/>
          <w:szCs w:val="24"/>
        </w:rPr>
        <w:t>(i)(ii)(iii) Department of Public Service and Administration (DPSA)</w:t>
      </w:r>
      <w:r w:rsidRPr="00696B6D">
        <w:rPr>
          <w:rFonts w:ascii="Arial" w:hAnsi="Arial" w:cs="Arial"/>
          <w:sz w:val="24"/>
          <w:szCs w:val="24"/>
        </w:rPr>
        <w:t xml:space="preserve"> is mandated by the Medium Term Strategic Framework and Outcome 12 to develop an Operations Management Framework (OMF) and to provide institutional support on the implementation thereof to selected national and provincial Government departments on an annual basis.</w:t>
      </w:r>
    </w:p>
    <w:p w:rsidR="00DF1F78" w:rsidRPr="00696B6D" w:rsidRDefault="00DF1F78" w:rsidP="00180334">
      <w:pPr>
        <w:pStyle w:val="NoSpacing"/>
        <w:spacing w:line="276" w:lineRule="auto"/>
        <w:rPr>
          <w:rFonts w:ascii="Arial" w:hAnsi="Arial" w:cs="Arial"/>
          <w:sz w:val="24"/>
          <w:szCs w:val="24"/>
        </w:rPr>
      </w:pPr>
    </w:p>
    <w:p w:rsidR="00696B6D" w:rsidRDefault="00696B6D" w:rsidP="00180334">
      <w:pPr>
        <w:spacing w:line="276" w:lineRule="auto"/>
        <w:jc w:val="both"/>
        <w:rPr>
          <w:rFonts w:ascii="Arial" w:eastAsia="Calibri" w:hAnsi="Arial" w:cs="Arial"/>
          <w:lang w:val="en-ZA"/>
        </w:rPr>
      </w:pPr>
      <w:r w:rsidRPr="00696B6D">
        <w:rPr>
          <w:rFonts w:ascii="Arial" w:eastAsia="Calibri" w:hAnsi="Arial" w:cs="Arial"/>
          <w:lang w:val="en-ZA"/>
        </w:rPr>
        <w:t>In pursuance of that mandate, the Chief Directorate: Operations Management of the DPSA developed an Operations Management Framework with supporting toolkits which includes</w:t>
      </w:r>
      <w:r>
        <w:rPr>
          <w:rFonts w:ascii="Arial" w:eastAsia="Calibri" w:hAnsi="Arial" w:cs="Arial"/>
          <w:lang w:val="en-ZA"/>
        </w:rPr>
        <w:t xml:space="preserve"> </w:t>
      </w:r>
      <w:r w:rsidRPr="00696B6D">
        <w:rPr>
          <w:rFonts w:ascii="Arial" w:eastAsia="Calibri" w:hAnsi="Arial" w:cs="Arial"/>
          <w:lang w:val="en-ZA"/>
        </w:rPr>
        <w:t>amongst others includes Business Process Management and Standard Operating Procedures.</w:t>
      </w:r>
    </w:p>
    <w:p w:rsidR="00696B6D" w:rsidRPr="00696B6D" w:rsidRDefault="00180334" w:rsidP="00180334">
      <w:pPr>
        <w:spacing w:line="276" w:lineRule="auto"/>
        <w:jc w:val="both"/>
        <w:rPr>
          <w:rFonts w:ascii="Arial" w:eastAsia="Calibri" w:hAnsi="Arial" w:cs="Arial"/>
          <w:lang w:val="en-ZA"/>
        </w:rPr>
      </w:pPr>
      <w:r>
        <w:rPr>
          <w:rFonts w:ascii="Arial" w:eastAsia="Calibri" w:hAnsi="Arial" w:cs="Arial"/>
          <w:lang w:val="en-ZA"/>
        </w:rPr>
        <w:lastRenderedPageBreak/>
        <w:t>In the 2015-16 financial year,</w:t>
      </w:r>
      <w:r w:rsidR="00696B6D" w:rsidRPr="00696B6D">
        <w:rPr>
          <w:rFonts w:ascii="Arial" w:eastAsia="Calibri" w:hAnsi="Arial" w:cs="Arial"/>
          <w:lang w:val="en-ZA"/>
        </w:rPr>
        <w:t xml:space="preserve"> DPSA focused on the National Department of Labour, the Social Development Sector and the Transport Sector.</w:t>
      </w:r>
      <w:r>
        <w:rPr>
          <w:rFonts w:ascii="Arial" w:eastAsia="Calibri" w:hAnsi="Arial" w:cs="Arial"/>
          <w:lang w:val="en-ZA"/>
        </w:rPr>
        <w:t xml:space="preserve"> </w:t>
      </w:r>
      <w:r w:rsidR="00696B6D" w:rsidRPr="00696B6D">
        <w:rPr>
          <w:rFonts w:ascii="Arial" w:eastAsia="Calibri" w:hAnsi="Arial" w:cs="Arial"/>
          <w:lang w:val="en-ZA"/>
        </w:rPr>
        <w:t>Business Process Maps and Standard Operating Procedures were developed for these Departments as follows:</w:t>
      </w:r>
    </w:p>
    <w:p w:rsidR="00936D26" w:rsidRDefault="00936D26" w:rsidP="004B1243">
      <w:pPr>
        <w:pStyle w:val="NoSpacing"/>
        <w:rPr>
          <w:rFonts w:ascii="Arial" w:hAnsi="Arial" w:cs="Arial"/>
          <w:b/>
          <w:sz w:val="24"/>
          <w:szCs w:val="24"/>
          <w:u w:val="single"/>
        </w:rPr>
      </w:pPr>
    </w:p>
    <w:p w:rsidR="00696B6D" w:rsidRPr="00696B6D" w:rsidRDefault="00696B6D" w:rsidP="004B1243">
      <w:pPr>
        <w:pStyle w:val="NoSpacing"/>
        <w:rPr>
          <w:rFonts w:ascii="Arial" w:hAnsi="Arial" w:cs="Arial"/>
          <w:sz w:val="24"/>
          <w:szCs w:val="24"/>
        </w:rPr>
      </w:pPr>
    </w:p>
    <w:p w:rsidR="00696B6D" w:rsidRPr="00180334" w:rsidRDefault="00696B6D" w:rsidP="004B1243">
      <w:pPr>
        <w:pStyle w:val="NoSpacing"/>
        <w:rPr>
          <w:rFonts w:ascii="Arial" w:hAnsi="Arial" w:cs="Arial"/>
          <w:b/>
          <w:sz w:val="24"/>
          <w:szCs w:val="24"/>
        </w:rPr>
      </w:pPr>
      <w:r w:rsidRPr="00180334">
        <w:rPr>
          <w:rFonts w:ascii="Arial" w:hAnsi="Arial" w:cs="Arial"/>
          <w:b/>
          <w:sz w:val="24"/>
          <w:szCs w:val="24"/>
        </w:rPr>
        <w:t>Labour:</w:t>
      </w:r>
    </w:p>
    <w:p w:rsidR="00696B6D" w:rsidRDefault="00696B6D" w:rsidP="004B1243">
      <w:pPr>
        <w:pStyle w:val="No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3240"/>
        <w:gridCol w:w="5958"/>
      </w:tblGrid>
      <w:tr w:rsidR="00E63256" w:rsidRPr="00892556" w:rsidTr="00892556">
        <w:tc>
          <w:tcPr>
            <w:tcW w:w="648" w:type="dxa"/>
            <w:shd w:val="clear" w:color="auto" w:fill="D9D9D9"/>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No.</w:t>
            </w:r>
          </w:p>
        </w:tc>
        <w:tc>
          <w:tcPr>
            <w:tcW w:w="3240" w:type="dxa"/>
            <w:shd w:val="clear" w:color="auto" w:fill="D9D9D9"/>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 xml:space="preserve"> Branch</w:t>
            </w:r>
          </w:p>
        </w:tc>
        <w:tc>
          <w:tcPr>
            <w:tcW w:w="5958" w:type="dxa"/>
            <w:shd w:val="clear" w:color="auto" w:fill="D9D9D9"/>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Core Service</w:t>
            </w:r>
          </w:p>
          <w:p w:rsidR="00E63256" w:rsidRPr="00892556" w:rsidRDefault="00E63256" w:rsidP="004B1243">
            <w:pPr>
              <w:pStyle w:val="NoSpacing"/>
              <w:rPr>
                <w:rFonts w:ascii="Arial" w:hAnsi="Arial" w:cs="Arial"/>
                <w:sz w:val="24"/>
                <w:szCs w:val="24"/>
              </w:rPr>
            </w:pPr>
          </w:p>
        </w:tc>
      </w:tr>
      <w:tr w:rsidR="00E63256" w:rsidRPr="00892556" w:rsidTr="00892556">
        <w:tc>
          <w:tcPr>
            <w:tcW w:w="648" w:type="dxa"/>
            <w:shd w:val="clear" w:color="auto" w:fill="auto"/>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1</w:t>
            </w:r>
          </w:p>
        </w:tc>
        <w:tc>
          <w:tcPr>
            <w:tcW w:w="3240" w:type="dxa"/>
            <w:shd w:val="clear" w:color="auto" w:fill="auto"/>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Inspection and Enforcement Service (IES)</w:t>
            </w:r>
          </w:p>
          <w:p w:rsidR="00E63256" w:rsidRPr="00892556" w:rsidRDefault="00E63256" w:rsidP="004B1243">
            <w:pPr>
              <w:pStyle w:val="NoSpacing"/>
              <w:rPr>
                <w:rFonts w:ascii="Arial" w:hAnsi="Arial" w:cs="Arial"/>
                <w:sz w:val="24"/>
                <w:szCs w:val="24"/>
              </w:rPr>
            </w:pPr>
          </w:p>
        </w:tc>
        <w:tc>
          <w:tcPr>
            <w:tcW w:w="5958" w:type="dxa"/>
            <w:shd w:val="clear" w:color="auto" w:fill="auto"/>
          </w:tcPr>
          <w:p w:rsidR="00E63256" w:rsidRPr="00892556" w:rsidRDefault="00E63256"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Conduct Review Inspection on Employment</w:t>
            </w:r>
          </w:p>
          <w:p w:rsidR="00E63256" w:rsidRPr="00892556" w:rsidRDefault="00E63256" w:rsidP="00892556">
            <w:pPr>
              <w:pStyle w:val="NoSpacing"/>
              <w:ind w:left="342"/>
              <w:rPr>
                <w:rFonts w:ascii="Arial" w:hAnsi="Arial" w:cs="Arial"/>
                <w:sz w:val="24"/>
                <w:szCs w:val="24"/>
              </w:rPr>
            </w:pPr>
          </w:p>
          <w:p w:rsidR="00E63256" w:rsidRPr="00892556" w:rsidRDefault="00E63256"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Inspection in terms of Labour Legislation  - Basic Conditions of Employment Act</w:t>
            </w:r>
          </w:p>
          <w:p w:rsidR="00E63256" w:rsidRPr="00892556" w:rsidRDefault="00E63256" w:rsidP="00892556">
            <w:pPr>
              <w:pStyle w:val="ListParagraph"/>
              <w:rPr>
                <w:rFonts w:ascii="Arial" w:hAnsi="Arial" w:cs="Arial"/>
              </w:rPr>
            </w:pPr>
          </w:p>
          <w:p w:rsidR="00E63256" w:rsidRPr="00892556" w:rsidRDefault="00E63256"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Inspection in terms of the Occupational Health and Safety Act</w:t>
            </w:r>
          </w:p>
          <w:p w:rsidR="00E63256" w:rsidRPr="00892556" w:rsidRDefault="00E63256" w:rsidP="004B1243">
            <w:pPr>
              <w:pStyle w:val="NoSpacing"/>
              <w:rPr>
                <w:rFonts w:ascii="Arial" w:hAnsi="Arial" w:cs="Arial"/>
                <w:sz w:val="24"/>
                <w:szCs w:val="24"/>
              </w:rPr>
            </w:pPr>
          </w:p>
        </w:tc>
      </w:tr>
      <w:tr w:rsidR="00E63256" w:rsidRPr="00892556" w:rsidTr="00892556">
        <w:tc>
          <w:tcPr>
            <w:tcW w:w="648" w:type="dxa"/>
            <w:shd w:val="clear" w:color="auto" w:fill="auto"/>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2</w:t>
            </w:r>
          </w:p>
        </w:tc>
        <w:tc>
          <w:tcPr>
            <w:tcW w:w="3240" w:type="dxa"/>
            <w:shd w:val="clear" w:color="auto" w:fill="auto"/>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Public Employment Services (PES)</w:t>
            </w:r>
          </w:p>
          <w:p w:rsidR="00E63256" w:rsidRPr="00892556" w:rsidRDefault="00E63256" w:rsidP="004B1243">
            <w:pPr>
              <w:pStyle w:val="NoSpacing"/>
              <w:rPr>
                <w:rFonts w:ascii="Arial" w:hAnsi="Arial" w:cs="Arial"/>
                <w:sz w:val="24"/>
                <w:szCs w:val="24"/>
              </w:rPr>
            </w:pPr>
          </w:p>
        </w:tc>
        <w:tc>
          <w:tcPr>
            <w:tcW w:w="5958" w:type="dxa"/>
            <w:shd w:val="clear" w:color="auto" w:fill="auto"/>
          </w:tcPr>
          <w:p w:rsidR="00E63256" w:rsidRPr="00892556" w:rsidRDefault="00E63256"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Recruitment and Placement Services</w:t>
            </w:r>
          </w:p>
          <w:p w:rsidR="00E63256" w:rsidRPr="00892556" w:rsidRDefault="00E63256" w:rsidP="00892556">
            <w:pPr>
              <w:pStyle w:val="NoSpacing"/>
              <w:ind w:left="342"/>
              <w:rPr>
                <w:rFonts w:ascii="Arial" w:hAnsi="Arial" w:cs="Arial"/>
                <w:sz w:val="24"/>
                <w:szCs w:val="24"/>
              </w:rPr>
            </w:pPr>
          </w:p>
          <w:p w:rsidR="00E63256" w:rsidRPr="00892556" w:rsidRDefault="00E63256" w:rsidP="00892556">
            <w:pPr>
              <w:pStyle w:val="NoSpacing"/>
              <w:numPr>
                <w:ilvl w:val="0"/>
                <w:numId w:val="8"/>
              </w:numPr>
              <w:ind w:left="342"/>
              <w:rPr>
                <w:rFonts w:ascii="Arial" w:hAnsi="Arial" w:cs="Arial"/>
                <w:sz w:val="24"/>
                <w:szCs w:val="24"/>
              </w:rPr>
            </w:pPr>
            <w:r w:rsidRPr="00892556">
              <w:rPr>
                <w:rFonts w:ascii="Arial" w:hAnsi="Arial" w:cs="Arial"/>
                <w:sz w:val="24"/>
                <w:szCs w:val="24"/>
              </w:rPr>
              <w:t>Walk in Registration of Work Seekers at a Labour Centre</w:t>
            </w:r>
          </w:p>
          <w:p w:rsidR="00E63256" w:rsidRPr="00892556" w:rsidRDefault="00E63256" w:rsidP="00892556">
            <w:pPr>
              <w:pStyle w:val="ListParagraph"/>
              <w:rPr>
                <w:rFonts w:ascii="Arial" w:hAnsi="Arial" w:cs="Arial"/>
              </w:rPr>
            </w:pPr>
          </w:p>
          <w:p w:rsidR="00E63256" w:rsidRPr="00892556" w:rsidRDefault="00E63256" w:rsidP="00892556">
            <w:pPr>
              <w:pStyle w:val="NoSpacing"/>
              <w:numPr>
                <w:ilvl w:val="0"/>
                <w:numId w:val="8"/>
              </w:numPr>
              <w:ind w:left="342"/>
              <w:rPr>
                <w:rFonts w:ascii="Arial" w:hAnsi="Arial" w:cs="Arial"/>
                <w:sz w:val="24"/>
                <w:szCs w:val="24"/>
              </w:rPr>
            </w:pPr>
            <w:r w:rsidRPr="00892556">
              <w:rPr>
                <w:rFonts w:ascii="Arial" w:hAnsi="Arial" w:cs="Arial"/>
                <w:sz w:val="24"/>
                <w:szCs w:val="24"/>
              </w:rPr>
              <w:t>Online Registration of Work Seekers via ESSA</w:t>
            </w:r>
          </w:p>
          <w:p w:rsidR="00E63256" w:rsidRPr="00892556" w:rsidRDefault="00E63256" w:rsidP="00892556">
            <w:pPr>
              <w:pStyle w:val="ListParagraph"/>
              <w:rPr>
                <w:rFonts w:ascii="Arial" w:hAnsi="Arial" w:cs="Arial"/>
              </w:rPr>
            </w:pPr>
          </w:p>
          <w:p w:rsidR="00E63256" w:rsidRPr="00892556" w:rsidRDefault="00E63256" w:rsidP="00892556">
            <w:pPr>
              <w:pStyle w:val="NoSpacing"/>
              <w:numPr>
                <w:ilvl w:val="0"/>
                <w:numId w:val="8"/>
              </w:numPr>
              <w:ind w:left="342"/>
              <w:rPr>
                <w:rFonts w:ascii="Arial" w:hAnsi="Arial" w:cs="Arial"/>
                <w:sz w:val="24"/>
                <w:szCs w:val="24"/>
              </w:rPr>
            </w:pPr>
            <w:r w:rsidRPr="00892556">
              <w:rPr>
                <w:rFonts w:ascii="Arial" w:hAnsi="Arial" w:cs="Arial"/>
                <w:sz w:val="24"/>
                <w:szCs w:val="24"/>
              </w:rPr>
              <w:t>International Cross Boarder Labour Migration Management</w:t>
            </w:r>
          </w:p>
          <w:p w:rsidR="00E63256" w:rsidRPr="00892556" w:rsidRDefault="00E63256" w:rsidP="00892556">
            <w:pPr>
              <w:pStyle w:val="ListParagraph"/>
              <w:rPr>
                <w:rFonts w:ascii="Arial" w:hAnsi="Arial" w:cs="Arial"/>
              </w:rPr>
            </w:pPr>
          </w:p>
          <w:p w:rsidR="00E63256" w:rsidRPr="00892556" w:rsidRDefault="00E63256" w:rsidP="00892556">
            <w:pPr>
              <w:pStyle w:val="NoSpacing"/>
              <w:ind w:left="342"/>
              <w:rPr>
                <w:rFonts w:ascii="Arial" w:hAnsi="Arial" w:cs="Arial"/>
                <w:sz w:val="24"/>
                <w:szCs w:val="24"/>
              </w:rPr>
            </w:pPr>
          </w:p>
        </w:tc>
      </w:tr>
      <w:tr w:rsidR="00E63256" w:rsidRPr="00892556" w:rsidTr="00892556">
        <w:tc>
          <w:tcPr>
            <w:tcW w:w="648" w:type="dxa"/>
            <w:shd w:val="clear" w:color="auto" w:fill="auto"/>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3</w:t>
            </w:r>
          </w:p>
        </w:tc>
        <w:tc>
          <w:tcPr>
            <w:tcW w:w="3240" w:type="dxa"/>
            <w:shd w:val="clear" w:color="auto" w:fill="auto"/>
          </w:tcPr>
          <w:p w:rsidR="00E63256" w:rsidRPr="00892556" w:rsidRDefault="00E63256" w:rsidP="004B1243">
            <w:pPr>
              <w:pStyle w:val="NoSpacing"/>
              <w:rPr>
                <w:rFonts w:ascii="Arial" w:hAnsi="Arial" w:cs="Arial"/>
                <w:sz w:val="24"/>
                <w:szCs w:val="24"/>
              </w:rPr>
            </w:pPr>
            <w:r w:rsidRPr="00892556">
              <w:rPr>
                <w:rFonts w:ascii="Arial" w:hAnsi="Arial" w:cs="Arial"/>
                <w:sz w:val="24"/>
                <w:szCs w:val="24"/>
              </w:rPr>
              <w:t>Labour Practice and International Relations (LPIR)</w:t>
            </w:r>
          </w:p>
          <w:p w:rsidR="00EE43B4" w:rsidRPr="00892556" w:rsidRDefault="00EE43B4" w:rsidP="004B1243">
            <w:pPr>
              <w:pStyle w:val="NoSpacing"/>
              <w:rPr>
                <w:rFonts w:ascii="Arial" w:hAnsi="Arial" w:cs="Arial"/>
                <w:sz w:val="24"/>
                <w:szCs w:val="24"/>
              </w:rPr>
            </w:pPr>
          </w:p>
        </w:tc>
        <w:tc>
          <w:tcPr>
            <w:tcW w:w="5958" w:type="dxa"/>
            <w:shd w:val="clear" w:color="auto" w:fill="auto"/>
          </w:tcPr>
          <w:p w:rsidR="00E63256" w:rsidRPr="00892556" w:rsidRDefault="00E63256"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Registration of Labour organisations</w:t>
            </w:r>
          </w:p>
          <w:p w:rsidR="00E63256" w:rsidRPr="00892556" w:rsidRDefault="00E63256" w:rsidP="00892556">
            <w:pPr>
              <w:pStyle w:val="NoSpacing"/>
              <w:ind w:left="342"/>
              <w:rPr>
                <w:rFonts w:ascii="Arial" w:hAnsi="Arial" w:cs="Arial"/>
                <w:sz w:val="24"/>
                <w:szCs w:val="24"/>
              </w:rPr>
            </w:pPr>
          </w:p>
          <w:p w:rsidR="00E63256"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Processing of Collective Agreements</w:t>
            </w:r>
          </w:p>
        </w:tc>
      </w:tr>
      <w:tr w:rsidR="00EE43B4" w:rsidRPr="00892556" w:rsidTr="00892556">
        <w:tc>
          <w:tcPr>
            <w:tcW w:w="648" w:type="dxa"/>
            <w:shd w:val="clear" w:color="auto" w:fill="auto"/>
          </w:tcPr>
          <w:p w:rsidR="00EE43B4" w:rsidRPr="00892556" w:rsidRDefault="00EE43B4" w:rsidP="004B1243">
            <w:pPr>
              <w:pStyle w:val="NoSpacing"/>
              <w:rPr>
                <w:rFonts w:ascii="Arial" w:hAnsi="Arial" w:cs="Arial"/>
                <w:sz w:val="24"/>
                <w:szCs w:val="24"/>
              </w:rPr>
            </w:pPr>
            <w:r w:rsidRPr="00892556">
              <w:rPr>
                <w:rFonts w:ascii="Arial" w:hAnsi="Arial" w:cs="Arial"/>
                <w:sz w:val="24"/>
                <w:szCs w:val="24"/>
              </w:rPr>
              <w:t>4.</w:t>
            </w:r>
          </w:p>
        </w:tc>
        <w:tc>
          <w:tcPr>
            <w:tcW w:w="3240" w:type="dxa"/>
            <w:shd w:val="clear" w:color="auto" w:fill="auto"/>
          </w:tcPr>
          <w:p w:rsidR="00EE43B4" w:rsidRPr="00892556" w:rsidRDefault="00EE43B4" w:rsidP="004B1243">
            <w:pPr>
              <w:pStyle w:val="NoSpacing"/>
              <w:rPr>
                <w:rFonts w:ascii="Arial" w:hAnsi="Arial" w:cs="Arial"/>
                <w:sz w:val="24"/>
                <w:szCs w:val="24"/>
              </w:rPr>
            </w:pPr>
            <w:r w:rsidRPr="00892556">
              <w:rPr>
                <w:rFonts w:ascii="Arial" w:hAnsi="Arial" w:cs="Arial"/>
                <w:sz w:val="24"/>
                <w:szCs w:val="24"/>
              </w:rPr>
              <w:t>Unemployment Insurance Fund (UIF)</w:t>
            </w:r>
          </w:p>
          <w:p w:rsidR="00EE43B4" w:rsidRPr="00892556" w:rsidRDefault="00EE43B4" w:rsidP="004B1243">
            <w:pPr>
              <w:pStyle w:val="NoSpacing"/>
              <w:rPr>
                <w:rFonts w:ascii="Arial" w:hAnsi="Arial" w:cs="Arial"/>
                <w:sz w:val="24"/>
                <w:szCs w:val="24"/>
              </w:rPr>
            </w:pPr>
          </w:p>
        </w:tc>
        <w:tc>
          <w:tcPr>
            <w:tcW w:w="5958" w:type="dxa"/>
            <w:shd w:val="clear" w:color="auto" w:fill="auto"/>
          </w:tcPr>
          <w:p w:rsidR="00EE43B4"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Online application for unemployment/ordinary claim by claimant</w:t>
            </w:r>
          </w:p>
        </w:tc>
      </w:tr>
      <w:tr w:rsidR="00EE43B4" w:rsidRPr="00892556" w:rsidTr="00892556">
        <w:tc>
          <w:tcPr>
            <w:tcW w:w="648" w:type="dxa"/>
            <w:shd w:val="clear" w:color="auto" w:fill="auto"/>
          </w:tcPr>
          <w:p w:rsidR="00EE43B4" w:rsidRPr="00892556" w:rsidRDefault="00EE43B4" w:rsidP="004B1243">
            <w:pPr>
              <w:pStyle w:val="NoSpacing"/>
              <w:rPr>
                <w:rFonts w:ascii="Arial" w:hAnsi="Arial" w:cs="Arial"/>
                <w:sz w:val="24"/>
                <w:szCs w:val="24"/>
              </w:rPr>
            </w:pPr>
            <w:r w:rsidRPr="00892556">
              <w:rPr>
                <w:rFonts w:ascii="Arial" w:hAnsi="Arial" w:cs="Arial"/>
                <w:sz w:val="24"/>
                <w:szCs w:val="24"/>
              </w:rPr>
              <w:t>5.</w:t>
            </w:r>
          </w:p>
        </w:tc>
        <w:tc>
          <w:tcPr>
            <w:tcW w:w="3240" w:type="dxa"/>
            <w:shd w:val="clear" w:color="auto" w:fill="auto"/>
          </w:tcPr>
          <w:p w:rsidR="00EE43B4" w:rsidRPr="00892556" w:rsidRDefault="00EE43B4" w:rsidP="004B1243">
            <w:pPr>
              <w:pStyle w:val="NoSpacing"/>
              <w:rPr>
                <w:rFonts w:ascii="Arial" w:hAnsi="Arial" w:cs="Arial"/>
                <w:sz w:val="24"/>
                <w:szCs w:val="24"/>
              </w:rPr>
            </w:pPr>
            <w:r w:rsidRPr="00892556">
              <w:rPr>
                <w:rFonts w:ascii="Arial" w:hAnsi="Arial" w:cs="Arial"/>
                <w:sz w:val="24"/>
                <w:szCs w:val="24"/>
              </w:rPr>
              <w:t>Compensation Fund (CF)</w:t>
            </w:r>
          </w:p>
          <w:p w:rsidR="00EE43B4" w:rsidRPr="00892556" w:rsidRDefault="00EE43B4" w:rsidP="004B1243">
            <w:pPr>
              <w:pStyle w:val="NoSpacing"/>
              <w:rPr>
                <w:rFonts w:ascii="Arial" w:hAnsi="Arial" w:cs="Arial"/>
                <w:sz w:val="24"/>
                <w:szCs w:val="24"/>
              </w:rPr>
            </w:pPr>
          </w:p>
        </w:tc>
        <w:tc>
          <w:tcPr>
            <w:tcW w:w="5958" w:type="dxa"/>
            <w:shd w:val="clear" w:color="auto" w:fill="auto"/>
          </w:tcPr>
          <w:p w:rsidR="00EE43B4"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Assessment: Tariffs Section 85: Reduction and Loading Assessment Rate</w:t>
            </w:r>
          </w:p>
          <w:p w:rsidR="00EE43B4" w:rsidRPr="00892556" w:rsidRDefault="00EE43B4" w:rsidP="00892556">
            <w:pPr>
              <w:pStyle w:val="NoSpacing"/>
              <w:ind w:left="342"/>
              <w:rPr>
                <w:rFonts w:ascii="Arial" w:hAnsi="Arial" w:cs="Arial"/>
                <w:sz w:val="24"/>
                <w:szCs w:val="24"/>
              </w:rPr>
            </w:pPr>
          </w:p>
          <w:p w:rsidR="00EE43B4"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A</w:t>
            </w:r>
            <w:r w:rsidR="00F37B82">
              <w:rPr>
                <w:rFonts w:ascii="Arial" w:hAnsi="Arial" w:cs="Arial"/>
                <w:sz w:val="24"/>
                <w:szCs w:val="24"/>
              </w:rPr>
              <w:t>ssessment: Tariffs Section: Sub</w:t>
            </w:r>
            <w:r w:rsidRPr="00892556">
              <w:rPr>
                <w:rFonts w:ascii="Arial" w:hAnsi="Arial" w:cs="Arial"/>
                <w:sz w:val="24"/>
                <w:szCs w:val="24"/>
              </w:rPr>
              <w:t xml:space="preserve"> Class investigations</w:t>
            </w:r>
          </w:p>
          <w:p w:rsidR="00EE43B4" w:rsidRPr="00892556" w:rsidRDefault="00EE43B4" w:rsidP="00892556">
            <w:pPr>
              <w:pStyle w:val="ListParagraph"/>
              <w:rPr>
                <w:rFonts w:ascii="Arial" w:hAnsi="Arial" w:cs="Arial"/>
              </w:rPr>
            </w:pPr>
          </w:p>
          <w:p w:rsidR="00EE43B4"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Raising Assessment (Manual Submission)</w:t>
            </w:r>
          </w:p>
          <w:p w:rsidR="00EE43B4" w:rsidRPr="00892556" w:rsidRDefault="00EE43B4" w:rsidP="00892556">
            <w:pPr>
              <w:pStyle w:val="ListParagraph"/>
              <w:rPr>
                <w:rFonts w:ascii="Arial" w:hAnsi="Arial" w:cs="Arial"/>
              </w:rPr>
            </w:pPr>
          </w:p>
          <w:p w:rsidR="00EE43B4"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Registration of Employer</w:t>
            </w:r>
          </w:p>
          <w:p w:rsidR="00EE43B4" w:rsidRPr="00892556" w:rsidRDefault="00EE43B4" w:rsidP="00892556">
            <w:pPr>
              <w:pStyle w:val="ListParagraph"/>
              <w:rPr>
                <w:rFonts w:ascii="Arial" w:hAnsi="Arial" w:cs="Arial"/>
              </w:rPr>
            </w:pPr>
          </w:p>
          <w:p w:rsidR="00EE43B4" w:rsidRPr="00892556" w:rsidRDefault="00EE43B4" w:rsidP="00892556">
            <w:pPr>
              <w:pStyle w:val="NoSpacing"/>
              <w:numPr>
                <w:ilvl w:val="0"/>
                <w:numId w:val="8"/>
              </w:numPr>
              <w:ind w:left="342" w:hanging="342"/>
              <w:rPr>
                <w:rFonts w:ascii="Arial" w:hAnsi="Arial" w:cs="Arial"/>
                <w:sz w:val="24"/>
                <w:szCs w:val="24"/>
              </w:rPr>
            </w:pPr>
            <w:r w:rsidRPr="00892556">
              <w:rPr>
                <w:rFonts w:ascii="Arial" w:hAnsi="Arial" w:cs="Arial"/>
                <w:sz w:val="24"/>
                <w:szCs w:val="24"/>
              </w:rPr>
              <w:t xml:space="preserve">Revision of Assessment </w:t>
            </w:r>
          </w:p>
        </w:tc>
      </w:tr>
    </w:tbl>
    <w:p w:rsidR="00696B6D" w:rsidRPr="00696B6D" w:rsidRDefault="00696B6D" w:rsidP="004B1243">
      <w:pPr>
        <w:pStyle w:val="NoSpacing"/>
        <w:rPr>
          <w:rFonts w:ascii="Arial" w:hAnsi="Arial" w:cs="Arial"/>
          <w:sz w:val="24"/>
          <w:szCs w:val="24"/>
        </w:rPr>
      </w:pPr>
    </w:p>
    <w:p w:rsidR="00696B6D" w:rsidRPr="00696B6D" w:rsidRDefault="00696B6D" w:rsidP="004B1243">
      <w:pPr>
        <w:pStyle w:val="NoSpacing"/>
        <w:rPr>
          <w:rFonts w:ascii="Arial" w:hAnsi="Arial" w:cs="Arial"/>
          <w:sz w:val="24"/>
          <w:szCs w:val="24"/>
        </w:rPr>
      </w:pPr>
    </w:p>
    <w:p w:rsidR="00EE43B4" w:rsidRPr="00180334" w:rsidRDefault="00EE43B4" w:rsidP="00A00C9F">
      <w:pPr>
        <w:pStyle w:val="NoSpacing"/>
        <w:jc w:val="both"/>
        <w:rPr>
          <w:rFonts w:ascii="Arial" w:hAnsi="Arial" w:cs="Arial"/>
          <w:b/>
          <w:sz w:val="24"/>
          <w:szCs w:val="24"/>
        </w:rPr>
      </w:pPr>
      <w:r w:rsidRPr="00180334">
        <w:rPr>
          <w:rFonts w:ascii="Arial" w:hAnsi="Arial" w:cs="Arial"/>
          <w:b/>
          <w:sz w:val="24"/>
          <w:szCs w:val="24"/>
        </w:rPr>
        <w:lastRenderedPageBreak/>
        <w:t>Social Development:</w:t>
      </w:r>
    </w:p>
    <w:p w:rsidR="00EE43B4" w:rsidRPr="00EE43B4" w:rsidRDefault="00EE43B4" w:rsidP="00A00C9F">
      <w:pPr>
        <w:pStyle w:val="NoSpacing"/>
        <w:jc w:val="both"/>
        <w:rPr>
          <w:rFonts w:ascii="Arial" w:hAnsi="Arial" w:cs="Arial"/>
          <w:sz w:val="24"/>
          <w:szCs w:val="24"/>
        </w:rPr>
      </w:pPr>
    </w:p>
    <w:p w:rsidR="00EE43B4" w:rsidRPr="00EE43B4" w:rsidRDefault="00EE43B4" w:rsidP="00A00C9F">
      <w:pPr>
        <w:pStyle w:val="NoSpacing"/>
        <w:numPr>
          <w:ilvl w:val="0"/>
          <w:numId w:val="9"/>
        </w:numPr>
        <w:ind w:left="360"/>
        <w:jc w:val="both"/>
        <w:rPr>
          <w:rFonts w:ascii="Arial" w:hAnsi="Arial" w:cs="Arial"/>
          <w:sz w:val="24"/>
          <w:szCs w:val="24"/>
        </w:rPr>
      </w:pPr>
      <w:r w:rsidRPr="00EE43B4">
        <w:rPr>
          <w:rFonts w:ascii="Arial" w:hAnsi="Arial" w:cs="Arial"/>
          <w:sz w:val="24"/>
          <w:szCs w:val="24"/>
        </w:rPr>
        <w:t>Registration of Non-Profit Organisations</w:t>
      </w:r>
    </w:p>
    <w:p w:rsidR="00EE43B4" w:rsidRPr="00EE43B4" w:rsidRDefault="00EE43B4" w:rsidP="00A00C9F">
      <w:pPr>
        <w:pStyle w:val="NoSpacing"/>
        <w:numPr>
          <w:ilvl w:val="0"/>
          <w:numId w:val="9"/>
        </w:numPr>
        <w:ind w:left="360"/>
        <w:jc w:val="both"/>
        <w:rPr>
          <w:rFonts w:ascii="Arial" w:hAnsi="Arial" w:cs="Arial"/>
          <w:sz w:val="24"/>
          <w:szCs w:val="24"/>
        </w:rPr>
      </w:pPr>
      <w:r w:rsidRPr="00EE43B4">
        <w:rPr>
          <w:rFonts w:ascii="Arial" w:hAnsi="Arial" w:cs="Arial"/>
          <w:sz w:val="24"/>
          <w:szCs w:val="24"/>
        </w:rPr>
        <w:t>Funding of Non-Profit Organisations</w:t>
      </w:r>
    </w:p>
    <w:p w:rsidR="00696B6D" w:rsidRPr="00EE43B4" w:rsidRDefault="00EE43B4" w:rsidP="00A00C9F">
      <w:pPr>
        <w:pStyle w:val="NoSpacing"/>
        <w:numPr>
          <w:ilvl w:val="0"/>
          <w:numId w:val="9"/>
        </w:numPr>
        <w:ind w:left="360"/>
        <w:jc w:val="both"/>
        <w:rPr>
          <w:rFonts w:ascii="Arial" w:hAnsi="Arial" w:cs="Arial"/>
          <w:sz w:val="24"/>
          <w:szCs w:val="24"/>
        </w:rPr>
      </w:pPr>
      <w:r w:rsidRPr="00EE43B4">
        <w:rPr>
          <w:rFonts w:ascii="Arial" w:hAnsi="Arial" w:cs="Arial"/>
          <w:sz w:val="24"/>
          <w:szCs w:val="24"/>
        </w:rPr>
        <w:t>Placement of children in need of care and protection in foster care</w:t>
      </w:r>
    </w:p>
    <w:p w:rsidR="00696B6D" w:rsidRDefault="00696B6D" w:rsidP="00A00C9F">
      <w:pPr>
        <w:pStyle w:val="NoSpacing"/>
        <w:jc w:val="both"/>
        <w:rPr>
          <w:rFonts w:ascii="Arial" w:hAnsi="Arial" w:cs="Arial"/>
          <w:b/>
          <w:sz w:val="24"/>
          <w:szCs w:val="24"/>
          <w:u w:val="single"/>
        </w:rPr>
      </w:pPr>
    </w:p>
    <w:p w:rsidR="00A00C9F" w:rsidRPr="00180334" w:rsidRDefault="00A00C9F" w:rsidP="00A00C9F">
      <w:pPr>
        <w:pStyle w:val="NoSpacing"/>
        <w:jc w:val="both"/>
        <w:rPr>
          <w:rFonts w:ascii="Arial" w:hAnsi="Arial" w:cs="Arial"/>
          <w:b/>
          <w:sz w:val="24"/>
          <w:szCs w:val="24"/>
        </w:rPr>
      </w:pPr>
      <w:r w:rsidRPr="00180334">
        <w:rPr>
          <w:rFonts w:ascii="Arial" w:hAnsi="Arial" w:cs="Arial"/>
          <w:b/>
          <w:sz w:val="24"/>
          <w:szCs w:val="24"/>
        </w:rPr>
        <w:t>Transport:</w:t>
      </w:r>
    </w:p>
    <w:p w:rsidR="00A00C9F" w:rsidRPr="00A00C9F" w:rsidRDefault="00A00C9F" w:rsidP="00A00C9F">
      <w:pPr>
        <w:pStyle w:val="NoSpacing"/>
        <w:jc w:val="both"/>
        <w:rPr>
          <w:rFonts w:ascii="Arial" w:hAnsi="Arial" w:cs="Arial"/>
          <w:sz w:val="24"/>
          <w:szCs w:val="24"/>
        </w:rPr>
      </w:pPr>
    </w:p>
    <w:p w:rsidR="00A00C9F" w:rsidRPr="00A00C9F" w:rsidRDefault="00A00C9F" w:rsidP="00A00C9F">
      <w:pPr>
        <w:pStyle w:val="NoSpacing"/>
        <w:numPr>
          <w:ilvl w:val="0"/>
          <w:numId w:val="10"/>
        </w:numPr>
        <w:ind w:left="360"/>
        <w:jc w:val="both"/>
        <w:rPr>
          <w:rFonts w:ascii="Arial" w:hAnsi="Arial" w:cs="Arial"/>
          <w:sz w:val="24"/>
          <w:szCs w:val="24"/>
        </w:rPr>
      </w:pPr>
      <w:r w:rsidRPr="00A00C9F">
        <w:rPr>
          <w:rFonts w:ascii="Arial" w:hAnsi="Arial" w:cs="Arial"/>
          <w:sz w:val="24"/>
          <w:szCs w:val="24"/>
        </w:rPr>
        <w:t>Issuing of contracts to service providers for the transportation of eligible learners to and from school</w:t>
      </w:r>
    </w:p>
    <w:p w:rsidR="00A00C9F" w:rsidRPr="00A00C9F" w:rsidRDefault="00A00C9F" w:rsidP="00A00C9F">
      <w:pPr>
        <w:pStyle w:val="NoSpacing"/>
        <w:numPr>
          <w:ilvl w:val="0"/>
          <w:numId w:val="10"/>
        </w:numPr>
        <w:ind w:left="360"/>
        <w:jc w:val="both"/>
        <w:rPr>
          <w:rFonts w:ascii="Arial" w:hAnsi="Arial" w:cs="Arial"/>
          <w:sz w:val="24"/>
          <w:szCs w:val="24"/>
        </w:rPr>
      </w:pPr>
      <w:r w:rsidRPr="00A00C9F">
        <w:rPr>
          <w:rFonts w:ascii="Arial" w:hAnsi="Arial" w:cs="Arial"/>
          <w:sz w:val="24"/>
          <w:szCs w:val="24"/>
        </w:rPr>
        <w:t>Issuing of public transport operating licenses</w:t>
      </w:r>
    </w:p>
    <w:p w:rsidR="00A00C9F" w:rsidRPr="00A00C9F" w:rsidRDefault="00A00C9F" w:rsidP="00A00C9F">
      <w:pPr>
        <w:pStyle w:val="NoSpacing"/>
        <w:numPr>
          <w:ilvl w:val="0"/>
          <w:numId w:val="10"/>
        </w:numPr>
        <w:ind w:left="360"/>
        <w:jc w:val="both"/>
        <w:rPr>
          <w:rFonts w:ascii="Arial" w:hAnsi="Arial" w:cs="Arial"/>
          <w:sz w:val="24"/>
          <w:szCs w:val="24"/>
        </w:rPr>
      </w:pPr>
      <w:r w:rsidRPr="00A00C9F">
        <w:rPr>
          <w:rFonts w:ascii="Arial" w:hAnsi="Arial" w:cs="Arial"/>
          <w:sz w:val="24"/>
          <w:szCs w:val="24"/>
        </w:rPr>
        <w:t>Issuing drivers licenses</w:t>
      </w:r>
    </w:p>
    <w:p w:rsidR="00A00C9F" w:rsidRDefault="00A00C9F" w:rsidP="00A00C9F">
      <w:pPr>
        <w:pStyle w:val="NoSpacing"/>
        <w:jc w:val="both"/>
        <w:rPr>
          <w:rFonts w:ascii="Arial" w:hAnsi="Arial" w:cs="Arial"/>
          <w:sz w:val="24"/>
          <w:szCs w:val="24"/>
        </w:rPr>
      </w:pPr>
    </w:p>
    <w:p w:rsidR="00696B6D" w:rsidRDefault="00A00C9F" w:rsidP="00A00C9F">
      <w:pPr>
        <w:pStyle w:val="NoSpacing"/>
        <w:jc w:val="both"/>
        <w:rPr>
          <w:rFonts w:ascii="Arial" w:hAnsi="Arial" w:cs="Arial"/>
          <w:sz w:val="24"/>
          <w:szCs w:val="24"/>
        </w:rPr>
      </w:pPr>
      <w:r w:rsidRPr="00A00C9F">
        <w:rPr>
          <w:rFonts w:ascii="Arial" w:hAnsi="Arial" w:cs="Arial"/>
          <w:sz w:val="24"/>
          <w:szCs w:val="24"/>
        </w:rPr>
        <w:t>The DPSA provided institutional support and/or advice to other departments on the Operations Management value chain. A list of departments is provided hereunder:</w:t>
      </w:r>
    </w:p>
    <w:p w:rsidR="00A00C9F" w:rsidRDefault="00A00C9F" w:rsidP="00A00C9F">
      <w:pPr>
        <w:pStyle w:val="No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9018"/>
      </w:tblGrid>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 xml:space="preserve">No. </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Name of the Government Department/ Component/ Institution</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1</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Gauteng Department of Health</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2</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National Department of Health</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3</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Batho Pele Forum</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4</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Free State — Office of the Premier</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5</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Mineral Resources</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6</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Military Veterans</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7</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Department of Corporative Governance</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8</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KZN — Arts and Culture</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9</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National School of Government</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10</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Department of Justice and Constitutional Development</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11</w:t>
            </w:r>
          </w:p>
        </w:tc>
        <w:tc>
          <w:tcPr>
            <w:tcW w:w="901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Eastern Cape — Safety and Security</w:t>
            </w:r>
          </w:p>
          <w:p w:rsidR="00A00C9F" w:rsidRPr="00892556" w:rsidRDefault="00A00C9F" w:rsidP="00892556">
            <w:pPr>
              <w:pStyle w:val="NoSpacing"/>
              <w:jc w:val="both"/>
              <w:rPr>
                <w:rFonts w:ascii="Arial" w:hAnsi="Arial" w:cs="Arial"/>
                <w:sz w:val="24"/>
                <w:szCs w:val="24"/>
              </w:rPr>
            </w:pPr>
          </w:p>
        </w:tc>
      </w:tr>
      <w:tr w:rsidR="00A00C9F" w:rsidRPr="00892556" w:rsidTr="00892556">
        <w:tc>
          <w:tcPr>
            <w:tcW w:w="828" w:type="dxa"/>
            <w:shd w:val="clear" w:color="auto" w:fill="auto"/>
          </w:tcPr>
          <w:p w:rsidR="00A00C9F" w:rsidRPr="00892556" w:rsidRDefault="00A00C9F" w:rsidP="00892556">
            <w:pPr>
              <w:pStyle w:val="NoSpacing"/>
              <w:jc w:val="both"/>
              <w:rPr>
                <w:rFonts w:ascii="Arial" w:hAnsi="Arial" w:cs="Arial"/>
                <w:sz w:val="24"/>
                <w:szCs w:val="24"/>
              </w:rPr>
            </w:pPr>
            <w:r w:rsidRPr="00892556">
              <w:rPr>
                <w:rFonts w:ascii="Arial" w:hAnsi="Arial" w:cs="Arial"/>
                <w:sz w:val="24"/>
                <w:szCs w:val="24"/>
              </w:rPr>
              <w:t>12</w:t>
            </w:r>
          </w:p>
        </w:tc>
        <w:tc>
          <w:tcPr>
            <w:tcW w:w="9018" w:type="dxa"/>
            <w:shd w:val="clear" w:color="auto" w:fill="auto"/>
          </w:tcPr>
          <w:p w:rsidR="00A00C9F" w:rsidRPr="00892556" w:rsidRDefault="00D86E6E" w:rsidP="00892556">
            <w:pPr>
              <w:pStyle w:val="NoSpacing"/>
              <w:jc w:val="both"/>
              <w:rPr>
                <w:rFonts w:ascii="Arial" w:hAnsi="Arial" w:cs="Arial"/>
                <w:sz w:val="24"/>
                <w:szCs w:val="24"/>
              </w:rPr>
            </w:pPr>
            <w:r w:rsidRPr="00892556">
              <w:rPr>
                <w:rFonts w:ascii="Arial" w:hAnsi="Arial" w:cs="Arial"/>
                <w:sz w:val="24"/>
                <w:szCs w:val="24"/>
              </w:rPr>
              <w:t>Department of Telecommunications and Postal Services</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13</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KZN —Education</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14</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Correctional Services Inspector Judge</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15</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Northern Cape — Office of the Premier</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lastRenderedPageBreak/>
              <w:t>16</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Batho Pele Standards Steering Committee</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17</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Department of Trade and Industry</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18</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KZN — Office of the Premier</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19</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Human Settlements</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20</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Parliamentary Budget Office</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21</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Agriculture and Rural Development</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22</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Ministry: Public Service and Administration</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23</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National Consumer Commission</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24</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Independent Police Investigative Directorate</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25</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Agriculture — Mpumalanga</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26</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Gauteng Office of the Premier</w:t>
            </w:r>
          </w:p>
          <w:p w:rsidR="00D86E6E" w:rsidRPr="00892556" w:rsidRDefault="00D86E6E" w:rsidP="00892556">
            <w:pPr>
              <w:pStyle w:val="NoSpacing"/>
              <w:jc w:val="both"/>
              <w:rPr>
                <w:rFonts w:ascii="Arial" w:hAnsi="Arial" w:cs="Arial"/>
                <w:sz w:val="24"/>
                <w:szCs w:val="24"/>
              </w:rPr>
            </w:pPr>
          </w:p>
        </w:tc>
      </w:tr>
      <w:tr w:rsidR="00D86E6E" w:rsidRPr="00892556" w:rsidTr="00892556">
        <w:tc>
          <w:tcPr>
            <w:tcW w:w="82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27</w:t>
            </w:r>
          </w:p>
        </w:tc>
        <w:tc>
          <w:tcPr>
            <w:tcW w:w="9018" w:type="dxa"/>
            <w:shd w:val="clear" w:color="auto" w:fill="auto"/>
          </w:tcPr>
          <w:p w:rsidR="00D86E6E" w:rsidRPr="00892556" w:rsidRDefault="00D86E6E" w:rsidP="00892556">
            <w:pPr>
              <w:pStyle w:val="NoSpacing"/>
              <w:jc w:val="both"/>
              <w:rPr>
                <w:rFonts w:ascii="Arial" w:hAnsi="Arial" w:cs="Arial"/>
                <w:sz w:val="24"/>
                <w:szCs w:val="24"/>
              </w:rPr>
            </w:pPr>
            <w:r w:rsidRPr="00892556">
              <w:rPr>
                <w:rFonts w:ascii="Arial" w:hAnsi="Arial" w:cs="Arial"/>
                <w:sz w:val="24"/>
                <w:szCs w:val="24"/>
              </w:rPr>
              <w:t>Northern Cape Provincial Treasury</w:t>
            </w:r>
          </w:p>
          <w:p w:rsidR="00D86E6E" w:rsidRPr="00892556" w:rsidRDefault="00D86E6E" w:rsidP="00892556">
            <w:pPr>
              <w:pStyle w:val="NoSpacing"/>
              <w:jc w:val="both"/>
              <w:rPr>
                <w:rFonts w:ascii="Arial" w:hAnsi="Arial" w:cs="Arial"/>
                <w:sz w:val="24"/>
                <w:szCs w:val="24"/>
              </w:rPr>
            </w:pPr>
          </w:p>
        </w:tc>
      </w:tr>
    </w:tbl>
    <w:p w:rsidR="00A00C9F" w:rsidRPr="00A00C9F" w:rsidRDefault="00A00C9F" w:rsidP="00A00C9F">
      <w:pPr>
        <w:pStyle w:val="NoSpacing"/>
        <w:jc w:val="both"/>
        <w:rPr>
          <w:rFonts w:ascii="Arial" w:hAnsi="Arial" w:cs="Arial"/>
          <w:sz w:val="24"/>
          <w:szCs w:val="24"/>
        </w:rPr>
      </w:pPr>
    </w:p>
    <w:p w:rsidR="00696B6D" w:rsidRPr="00180334" w:rsidRDefault="00696B6D" w:rsidP="00180334">
      <w:pPr>
        <w:pStyle w:val="NoSpacing"/>
      </w:pPr>
    </w:p>
    <w:p w:rsidR="00696B6D" w:rsidRDefault="00696B6D" w:rsidP="004B1243">
      <w:pPr>
        <w:pStyle w:val="NoSpacing"/>
        <w:rPr>
          <w:rFonts w:ascii="Arial" w:hAnsi="Arial" w:cs="Arial"/>
          <w:b/>
          <w:sz w:val="24"/>
          <w:szCs w:val="24"/>
          <w:u w:val="single"/>
        </w:rPr>
      </w:pPr>
    </w:p>
    <w:p w:rsidR="00696B6D" w:rsidRPr="00D86E6E" w:rsidRDefault="00D86E6E" w:rsidP="004B1243">
      <w:pPr>
        <w:pStyle w:val="NoSpacing"/>
        <w:rPr>
          <w:rFonts w:ascii="Arial" w:hAnsi="Arial" w:cs="Arial"/>
          <w:sz w:val="24"/>
          <w:szCs w:val="24"/>
        </w:rPr>
      </w:pPr>
      <w:r w:rsidRPr="00D86E6E">
        <w:rPr>
          <w:rFonts w:ascii="Arial" w:hAnsi="Arial" w:cs="Arial"/>
          <w:sz w:val="24"/>
          <w:szCs w:val="24"/>
        </w:rPr>
        <w:t>(b) (i) (ii) (iii)</w:t>
      </w:r>
    </w:p>
    <w:p w:rsidR="00696B6D" w:rsidRDefault="00696B6D" w:rsidP="004B1243">
      <w:pPr>
        <w:pStyle w:val="NoSpacing"/>
        <w:rPr>
          <w:rFonts w:ascii="Arial" w:hAnsi="Arial" w:cs="Arial"/>
          <w:b/>
          <w:sz w:val="24"/>
          <w:szCs w:val="24"/>
          <w:u w:val="single"/>
        </w:rPr>
      </w:pPr>
    </w:p>
    <w:p w:rsidR="00936D26" w:rsidRPr="00D86E6E" w:rsidRDefault="00936D26" w:rsidP="00D86E6E">
      <w:pPr>
        <w:pStyle w:val="NoSpacing"/>
        <w:spacing w:line="276" w:lineRule="auto"/>
        <w:rPr>
          <w:rFonts w:ascii="Arial" w:hAnsi="Arial" w:cs="Arial"/>
          <w:b/>
          <w:sz w:val="24"/>
          <w:szCs w:val="24"/>
          <w:u w:val="single"/>
        </w:rPr>
      </w:pPr>
    </w:p>
    <w:p w:rsidR="00D86E6E" w:rsidRPr="00D86E6E" w:rsidRDefault="000973D0" w:rsidP="000973D0">
      <w:pPr>
        <w:pStyle w:val="NoSpacing"/>
        <w:spacing w:line="276" w:lineRule="auto"/>
        <w:ind w:left="720" w:hanging="720"/>
        <w:jc w:val="both"/>
        <w:rPr>
          <w:rFonts w:ascii="Arial" w:hAnsi="Arial" w:cs="Arial"/>
          <w:sz w:val="24"/>
          <w:szCs w:val="24"/>
        </w:rPr>
      </w:pPr>
      <w:r>
        <w:rPr>
          <w:rFonts w:ascii="Arial" w:hAnsi="Arial" w:cs="Arial"/>
          <w:sz w:val="24"/>
          <w:szCs w:val="24"/>
        </w:rPr>
        <w:t xml:space="preserve">(i)  </w:t>
      </w:r>
      <w:r>
        <w:rPr>
          <w:rFonts w:ascii="Arial" w:hAnsi="Arial" w:cs="Arial"/>
          <w:sz w:val="24"/>
          <w:szCs w:val="24"/>
        </w:rPr>
        <w:tab/>
      </w:r>
      <w:r w:rsidR="00D86E6E" w:rsidRPr="00D86E6E">
        <w:rPr>
          <w:rFonts w:ascii="Arial" w:hAnsi="Arial" w:cs="Arial"/>
          <w:sz w:val="24"/>
          <w:szCs w:val="24"/>
        </w:rPr>
        <w:t>The Strategy on the Provision of targeted support to Departments was developed by the DPSA to coordinate targeted support to government departments in line with the mandate of the MPSA outlined in section 3 (6) of the Public Service Act, 1994 as amended by the Public Service Amendment Act 30 of 2007.</w:t>
      </w:r>
    </w:p>
    <w:p w:rsidR="00D86E6E" w:rsidRDefault="00D86E6E" w:rsidP="000973D0">
      <w:pPr>
        <w:pStyle w:val="NoSpacing"/>
        <w:jc w:val="both"/>
        <w:rPr>
          <w:rFonts w:ascii="Arial" w:hAnsi="Arial" w:cs="Arial"/>
          <w:b/>
          <w:sz w:val="24"/>
          <w:szCs w:val="24"/>
          <w:u w:val="single"/>
        </w:rPr>
      </w:pPr>
    </w:p>
    <w:p w:rsidR="000973D0" w:rsidRPr="000973D0" w:rsidRDefault="000973D0" w:rsidP="000973D0">
      <w:pPr>
        <w:pStyle w:val="NoSpacing"/>
        <w:spacing w:line="276" w:lineRule="auto"/>
        <w:ind w:left="720"/>
        <w:jc w:val="both"/>
        <w:rPr>
          <w:rFonts w:ascii="Arial" w:hAnsi="Arial" w:cs="Arial"/>
          <w:sz w:val="24"/>
          <w:szCs w:val="24"/>
        </w:rPr>
      </w:pPr>
      <w:r w:rsidRPr="000973D0">
        <w:rPr>
          <w:rFonts w:ascii="Arial" w:hAnsi="Arial" w:cs="Arial"/>
          <w:sz w:val="24"/>
          <w:szCs w:val="24"/>
        </w:rPr>
        <w:t>The Strategy on the Provision of targeted support to Departments is delivered in phases and the Initiation phase of the strategy looks at three key areas:</w:t>
      </w:r>
    </w:p>
    <w:p w:rsidR="00D86E6E" w:rsidRPr="000973D0" w:rsidRDefault="00D86E6E" w:rsidP="000973D0">
      <w:pPr>
        <w:pStyle w:val="NoSpacing"/>
        <w:jc w:val="both"/>
        <w:rPr>
          <w:rFonts w:ascii="Arial" w:hAnsi="Arial" w:cs="Arial"/>
          <w:b/>
          <w:sz w:val="24"/>
          <w:szCs w:val="24"/>
          <w:u w:val="single"/>
        </w:rPr>
      </w:pPr>
    </w:p>
    <w:p w:rsidR="000973D0" w:rsidRPr="000973D0" w:rsidRDefault="000973D0" w:rsidP="000973D0">
      <w:pPr>
        <w:pStyle w:val="NoSpacing"/>
        <w:numPr>
          <w:ilvl w:val="0"/>
          <w:numId w:val="12"/>
        </w:numPr>
        <w:spacing w:line="276" w:lineRule="auto"/>
        <w:jc w:val="both"/>
        <w:rPr>
          <w:rFonts w:ascii="Arial" w:hAnsi="Arial" w:cs="Arial"/>
          <w:sz w:val="24"/>
          <w:szCs w:val="24"/>
        </w:rPr>
      </w:pPr>
      <w:r w:rsidRPr="000973D0">
        <w:rPr>
          <w:rFonts w:ascii="Arial" w:hAnsi="Arial" w:cs="Arial"/>
          <w:sz w:val="24"/>
          <w:szCs w:val="24"/>
        </w:rPr>
        <w:t>Cabinet initiated Intervention or Support</w:t>
      </w:r>
    </w:p>
    <w:p w:rsidR="000973D0" w:rsidRPr="000973D0" w:rsidRDefault="000973D0" w:rsidP="000973D0">
      <w:pPr>
        <w:pStyle w:val="NoSpacing"/>
        <w:numPr>
          <w:ilvl w:val="0"/>
          <w:numId w:val="12"/>
        </w:numPr>
        <w:spacing w:line="276" w:lineRule="auto"/>
        <w:jc w:val="both"/>
        <w:rPr>
          <w:rFonts w:ascii="Arial" w:hAnsi="Arial" w:cs="Arial"/>
          <w:sz w:val="24"/>
          <w:szCs w:val="24"/>
        </w:rPr>
      </w:pPr>
      <w:r w:rsidRPr="000973D0">
        <w:rPr>
          <w:rFonts w:ascii="Arial" w:hAnsi="Arial" w:cs="Arial"/>
          <w:sz w:val="24"/>
          <w:szCs w:val="24"/>
        </w:rPr>
        <w:t>Pro-active requests from Departments for support and</w:t>
      </w:r>
    </w:p>
    <w:p w:rsidR="00D86E6E" w:rsidRDefault="000973D0" w:rsidP="000973D0">
      <w:pPr>
        <w:pStyle w:val="NoSpacing"/>
        <w:numPr>
          <w:ilvl w:val="0"/>
          <w:numId w:val="12"/>
        </w:numPr>
        <w:tabs>
          <w:tab w:val="left" w:pos="360"/>
        </w:tabs>
        <w:spacing w:line="276" w:lineRule="auto"/>
        <w:jc w:val="both"/>
        <w:rPr>
          <w:rFonts w:ascii="Arial" w:hAnsi="Arial" w:cs="Arial"/>
          <w:sz w:val="24"/>
          <w:szCs w:val="24"/>
        </w:rPr>
      </w:pPr>
      <w:r w:rsidRPr="000973D0">
        <w:rPr>
          <w:rFonts w:ascii="Arial" w:hAnsi="Arial" w:cs="Arial"/>
          <w:sz w:val="24"/>
          <w:szCs w:val="24"/>
        </w:rPr>
        <w:t>DPSA initiated support (MPAT, SD sites)</w:t>
      </w:r>
    </w:p>
    <w:p w:rsidR="000973D0" w:rsidRDefault="000973D0" w:rsidP="000973D0">
      <w:pPr>
        <w:pStyle w:val="NoSpacing"/>
        <w:tabs>
          <w:tab w:val="left" w:pos="360"/>
        </w:tabs>
        <w:spacing w:line="276" w:lineRule="auto"/>
        <w:jc w:val="both"/>
        <w:rPr>
          <w:rFonts w:ascii="Arial" w:hAnsi="Arial" w:cs="Arial"/>
          <w:sz w:val="24"/>
          <w:szCs w:val="24"/>
        </w:rPr>
      </w:pPr>
    </w:p>
    <w:p w:rsidR="000973D0" w:rsidRDefault="000973D0" w:rsidP="000973D0">
      <w:pPr>
        <w:pStyle w:val="NoSpacing"/>
        <w:tabs>
          <w:tab w:val="left" w:pos="360"/>
        </w:tabs>
        <w:spacing w:line="276" w:lineRule="auto"/>
        <w:jc w:val="both"/>
        <w:rPr>
          <w:rFonts w:ascii="Arial" w:hAnsi="Arial" w:cs="Arial"/>
          <w:sz w:val="24"/>
          <w:szCs w:val="24"/>
        </w:rPr>
      </w:pPr>
    </w:p>
    <w:p w:rsidR="000973D0" w:rsidRDefault="000973D0" w:rsidP="000973D0">
      <w:pPr>
        <w:pStyle w:val="NoSpacing"/>
        <w:tabs>
          <w:tab w:val="left" w:pos="360"/>
        </w:tabs>
        <w:spacing w:line="276" w:lineRule="auto"/>
        <w:jc w:val="both"/>
        <w:rPr>
          <w:rFonts w:ascii="Arial" w:hAnsi="Arial" w:cs="Arial"/>
          <w:sz w:val="24"/>
          <w:szCs w:val="24"/>
        </w:rPr>
      </w:pPr>
      <w:r w:rsidRPr="000973D0">
        <w:rPr>
          <w:rFonts w:ascii="Arial" w:hAnsi="Arial" w:cs="Arial"/>
          <w:sz w:val="24"/>
          <w:szCs w:val="24"/>
        </w:rPr>
        <w:t>The targeted support on year one focused on Pro Active requests from departments for support and the requests received were on Organisational Design support. Received requests on Organisational Design from 43 sectors, 25 we</w:t>
      </w:r>
      <w:r w:rsidR="00180334">
        <w:rPr>
          <w:rFonts w:ascii="Arial" w:hAnsi="Arial" w:cs="Arial"/>
          <w:sz w:val="24"/>
          <w:szCs w:val="24"/>
        </w:rPr>
        <w:t xml:space="preserve">re finalised and 11 in progress, </w:t>
      </w:r>
      <w:r w:rsidR="00180334" w:rsidRPr="00180334">
        <w:rPr>
          <w:rFonts w:ascii="Arial" w:hAnsi="Arial" w:cs="Arial"/>
          <w:b/>
          <w:sz w:val="24"/>
          <w:szCs w:val="24"/>
        </w:rPr>
        <w:lastRenderedPageBreak/>
        <w:t>a</w:t>
      </w:r>
      <w:r w:rsidRPr="00180334">
        <w:rPr>
          <w:rFonts w:ascii="Arial" w:hAnsi="Arial" w:cs="Arial"/>
          <w:b/>
          <w:sz w:val="24"/>
          <w:szCs w:val="24"/>
        </w:rPr>
        <w:t>ttached at Annexure B.</w:t>
      </w:r>
      <w:r w:rsidRPr="000973D0">
        <w:rPr>
          <w:rFonts w:ascii="Arial" w:hAnsi="Arial" w:cs="Arial"/>
          <w:sz w:val="24"/>
          <w:szCs w:val="24"/>
        </w:rPr>
        <w:t xml:space="preserve"> The Strategy on the Provision of targeted support to Departments has been approved for implementation.</w:t>
      </w:r>
    </w:p>
    <w:p w:rsidR="000973D0" w:rsidRPr="000973D0" w:rsidRDefault="000973D0" w:rsidP="000973D0">
      <w:pPr>
        <w:pStyle w:val="NoSpacing"/>
        <w:tabs>
          <w:tab w:val="left" w:pos="360"/>
        </w:tabs>
        <w:spacing w:line="276" w:lineRule="auto"/>
        <w:jc w:val="both"/>
        <w:rPr>
          <w:rFonts w:ascii="Arial" w:hAnsi="Arial" w:cs="Arial"/>
          <w:sz w:val="24"/>
          <w:szCs w:val="24"/>
        </w:rPr>
      </w:pPr>
    </w:p>
    <w:p w:rsidR="000973D0" w:rsidRDefault="000973D0" w:rsidP="000973D0">
      <w:pPr>
        <w:pStyle w:val="NoSpacing"/>
        <w:tabs>
          <w:tab w:val="left" w:pos="360"/>
        </w:tabs>
        <w:spacing w:line="276" w:lineRule="auto"/>
        <w:ind w:left="720" w:hanging="720"/>
        <w:jc w:val="both"/>
        <w:rPr>
          <w:rFonts w:ascii="Arial" w:hAnsi="Arial" w:cs="Arial"/>
          <w:sz w:val="24"/>
          <w:szCs w:val="24"/>
        </w:rPr>
      </w:pPr>
      <w:r>
        <w:rPr>
          <w:rFonts w:ascii="Arial" w:hAnsi="Arial" w:cs="Arial"/>
          <w:sz w:val="24"/>
          <w:szCs w:val="24"/>
        </w:rPr>
        <w:t>(ii)</w:t>
      </w:r>
      <w:r w:rsidRPr="000973D0">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Pr="000973D0">
        <w:rPr>
          <w:rFonts w:ascii="Arial" w:hAnsi="Arial" w:cs="Arial"/>
          <w:sz w:val="24"/>
          <w:szCs w:val="24"/>
        </w:rPr>
        <w:t>With regard to poor performing departments, a presentation was made to the North West province on their performance against outcome 12 and it was agreed that the Province will be assisted in the new financial year on their Service Delivery Improvement Plans (SDIPs), and together with National Treasury assist the Province in unblocking the challenge of 30 day payment to suppliers.</w:t>
      </w:r>
    </w:p>
    <w:p w:rsidR="000973D0" w:rsidRPr="000973D0" w:rsidRDefault="000973D0" w:rsidP="000973D0">
      <w:pPr>
        <w:pStyle w:val="NoSpacing"/>
        <w:tabs>
          <w:tab w:val="left" w:pos="360"/>
        </w:tabs>
        <w:spacing w:line="276" w:lineRule="auto"/>
        <w:ind w:left="720" w:hanging="720"/>
        <w:jc w:val="both"/>
        <w:rPr>
          <w:rFonts w:ascii="Arial" w:hAnsi="Arial" w:cs="Arial"/>
          <w:sz w:val="24"/>
          <w:szCs w:val="24"/>
        </w:rPr>
      </w:pPr>
    </w:p>
    <w:p w:rsidR="000973D0" w:rsidRDefault="000973D0" w:rsidP="000973D0">
      <w:pPr>
        <w:pStyle w:val="NoSpacing"/>
        <w:tabs>
          <w:tab w:val="left" w:pos="360"/>
        </w:tabs>
        <w:spacing w:line="276" w:lineRule="auto"/>
        <w:ind w:left="720" w:hanging="720"/>
        <w:jc w:val="both"/>
        <w:rPr>
          <w:rFonts w:ascii="Arial" w:hAnsi="Arial" w:cs="Arial"/>
          <w:sz w:val="24"/>
          <w:szCs w:val="24"/>
        </w:rPr>
      </w:pPr>
      <w:r>
        <w:rPr>
          <w:rFonts w:ascii="Arial" w:hAnsi="Arial" w:cs="Arial"/>
          <w:sz w:val="24"/>
          <w:szCs w:val="24"/>
        </w:rPr>
        <w:t xml:space="preserve">(iii) </w:t>
      </w:r>
      <w:r>
        <w:rPr>
          <w:rFonts w:ascii="Arial" w:hAnsi="Arial" w:cs="Arial"/>
          <w:sz w:val="24"/>
          <w:szCs w:val="24"/>
        </w:rPr>
        <w:tab/>
      </w:r>
      <w:r w:rsidRPr="000973D0">
        <w:rPr>
          <w:rFonts w:ascii="Arial" w:hAnsi="Arial" w:cs="Arial"/>
          <w:sz w:val="24"/>
          <w:szCs w:val="24"/>
        </w:rPr>
        <w:t xml:space="preserve">Extensive consultations were held within DPSA and with National and Provincial departments. The draft strategy was finally presented at the Governance and Administration cluster on 01 October 2015 for endorsement and support. </w:t>
      </w:r>
    </w:p>
    <w:p w:rsidR="000973D0" w:rsidRDefault="000973D0" w:rsidP="000973D0">
      <w:pPr>
        <w:pStyle w:val="NoSpacing"/>
        <w:tabs>
          <w:tab w:val="left" w:pos="360"/>
        </w:tabs>
        <w:spacing w:line="276" w:lineRule="auto"/>
        <w:jc w:val="both"/>
        <w:rPr>
          <w:rFonts w:ascii="Arial" w:hAnsi="Arial" w:cs="Arial"/>
          <w:sz w:val="24"/>
          <w:szCs w:val="24"/>
        </w:rPr>
      </w:pPr>
    </w:p>
    <w:p w:rsidR="00D86E6E" w:rsidRDefault="00D86E6E" w:rsidP="004B1243">
      <w:pPr>
        <w:pStyle w:val="NoSpacing"/>
        <w:rPr>
          <w:rFonts w:ascii="Arial" w:hAnsi="Arial" w:cs="Arial"/>
          <w:b/>
          <w:sz w:val="24"/>
          <w:szCs w:val="24"/>
          <w:u w:val="single"/>
        </w:rPr>
      </w:pPr>
    </w:p>
    <w:p w:rsidR="00D86E6E" w:rsidRDefault="00D86E6E" w:rsidP="004B1243">
      <w:pPr>
        <w:pStyle w:val="NoSpacing"/>
        <w:rPr>
          <w:rFonts w:ascii="Arial" w:hAnsi="Arial" w:cs="Arial"/>
          <w:b/>
          <w:sz w:val="24"/>
          <w:szCs w:val="24"/>
          <w:u w:val="single"/>
        </w:rPr>
      </w:pPr>
    </w:p>
    <w:sectPr w:rsidR="00D86E6E"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1D6" w:rsidRDefault="004B21D6">
      <w:r>
        <w:separator/>
      </w:r>
    </w:p>
  </w:endnote>
  <w:endnote w:type="continuationSeparator" w:id="0">
    <w:p w:rsidR="004B21D6" w:rsidRDefault="004B21D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E45" w:rsidRPr="00696B6D" w:rsidRDefault="00566567" w:rsidP="00696B6D">
    <w:pPr>
      <w:pStyle w:val="Footer"/>
    </w:pPr>
    <w:r w:rsidRPr="00696B6D">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696B6D" w:rsidRDefault="0066183B" w:rsidP="00696B6D">
    <w:pPr>
      <w:pStyle w:val="Footer"/>
    </w:pPr>
    <w:r w:rsidRPr="00696B6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1D6" w:rsidRDefault="004B21D6">
      <w:r>
        <w:separator/>
      </w:r>
    </w:p>
  </w:footnote>
  <w:footnote w:type="continuationSeparator" w:id="0">
    <w:p w:rsidR="004B21D6" w:rsidRDefault="004B2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483E8C"/>
    <w:multiLevelType w:val="hybridMultilevel"/>
    <w:tmpl w:val="FEAE23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F8C16E4"/>
    <w:multiLevelType w:val="multilevel"/>
    <w:tmpl w:val="A80A309E"/>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E67698"/>
    <w:multiLevelType w:val="hybridMultilevel"/>
    <w:tmpl w:val="0FA4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B33B49"/>
    <w:multiLevelType w:val="hybridMultilevel"/>
    <w:tmpl w:val="0D64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35FC2"/>
    <w:multiLevelType w:val="hybridMultilevel"/>
    <w:tmpl w:val="A27AC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3B52A63"/>
    <w:multiLevelType w:val="hybridMultilevel"/>
    <w:tmpl w:val="D568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0"/>
  </w:num>
  <w:num w:numId="5">
    <w:abstractNumId w:val="1"/>
  </w:num>
  <w:num w:numId="6">
    <w:abstractNumId w:val="2"/>
  </w:num>
  <w:num w:numId="7">
    <w:abstractNumId w:val="6"/>
  </w:num>
  <w:num w:numId="8">
    <w:abstractNumId w:val="8"/>
  </w:num>
  <w:num w:numId="9">
    <w:abstractNumId w:val="11"/>
  </w:num>
  <w:num w:numId="10">
    <w:abstractNumId w:val="7"/>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973D0"/>
    <w:rsid w:val="000A4CD1"/>
    <w:rsid w:val="000C5477"/>
    <w:rsid w:val="000E1301"/>
    <w:rsid w:val="000F02A3"/>
    <w:rsid w:val="000F2F1D"/>
    <w:rsid w:val="000F7628"/>
    <w:rsid w:val="00105C50"/>
    <w:rsid w:val="00110D4F"/>
    <w:rsid w:val="00111C9D"/>
    <w:rsid w:val="00111E45"/>
    <w:rsid w:val="001147C9"/>
    <w:rsid w:val="001520C6"/>
    <w:rsid w:val="001605C8"/>
    <w:rsid w:val="00180334"/>
    <w:rsid w:val="00182ABC"/>
    <w:rsid w:val="00186AD6"/>
    <w:rsid w:val="00191C29"/>
    <w:rsid w:val="001A3F98"/>
    <w:rsid w:val="001B7A14"/>
    <w:rsid w:val="001B7FDD"/>
    <w:rsid w:val="001C1511"/>
    <w:rsid w:val="001C16B3"/>
    <w:rsid w:val="001E0D95"/>
    <w:rsid w:val="001F7080"/>
    <w:rsid w:val="00243AE3"/>
    <w:rsid w:val="002441DB"/>
    <w:rsid w:val="00273458"/>
    <w:rsid w:val="00273D81"/>
    <w:rsid w:val="00280B63"/>
    <w:rsid w:val="0028475F"/>
    <w:rsid w:val="00285C47"/>
    <w:rsid w:val="00290529"/>
    <w:rsid w:val="002A06C8"/>
    <w:rsid w:val="002C432E"/>
    <w:rsid w:val="002D31E7"/>
    <w:rsid w:val="002E0EE8"/>
    <w:rsid w:val="002E7AA8"/>
    <w:rsid w:val="002F75AA"/>
    <w:rsid w:val="003028D3"/>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2DFC"/>
    <w:rsid w:val="00424CEF"/>
    <w:rsid w:val="0042667A"/>
    <w:rsid w:val="00435FEA"/>
    <w:rsid w:val="0045003C"/>
    <w:rsid w:val="00476121"/>
    <w:rsid w:val="00492D7D"/>
    <w:rsid w:val="004B1243"/>
    <w:rsid w:val="004B1BEF"/>
    <w:rsid w:val="004B21D6"/>
    <w:rsid w:val="004B61E6"/>
    <w:rsid w:val="004D2B26"/>
    <w:rsid w:val="004F1A9B"/>
    <w:rsid w:val="004F32B5"/>
    <w:rsid w:val="00514FC4"/>
    <w:rsid w:val="005207DE"/>
    <w:rsid w:val="00536A20"/>
    <w:rsid w:val="005450F6"/>
    <w:rsid w:val="00566567"/>
    <w:rsid w:val="00577EA4"/>
    <w:rsid w:val="00591B49"/>
    <w:rsid w:val="00593E40"/>
    <w:rsid w:val="005975FE"/>
    <w:rsid w:val="005B0C33"/>
    <w:rsid w:val="005B7540"/>
    <w:rsid w:val="005D5448"/>
    <w:rsid w:val="005F0736"/>
    <w:rsid w:val="005F1512"/>
    <w:rsid w:val="006163C2"/>
    <w:rsid w:val="0061719E"/>
    <w:rsid w:val="00617849"/>
    <w:rsid w:val="00621486"/>
    <w:rsid w:val="00625B6A"/>
    <w:rsid w:val="00630AE3"/>
    <w:rsid w:val="0066183B"/>
    <w:rsid w:val="00685F47"/>
    <w:rsid w:val="00694661"/>
    <w:rsid w:val="006966E1"/>
    <w:rsid w:val="00696B6D"/>
    <w:rsid w:val="006B2E97"/>
    <w:rsid w:val="006B4F8A"/>
    <w:rsid w:val="006D7E05"/>
    <w:rsid w:val="006F0B6A"/>
    <w:rsid w:val="00703A2C"/>
    <w:rsid w:val="0071348D"/>
    <w:rsid w:val="007201AD"/>
    <w:rsid w:val="0072142B"/>
    <w:rsid w:val="007302C7"/>
    <w:rsid w:val="00741C9B"/>
    <w:rsid w:val="007777AE"/>
    <w:rsid w:val="007816EA"/>
    <w:rsid w:val="007853B3"/>
    <w:rsid w:val="00794504"/>
    <w:rsid w:val="007A3CF9"/>
    <w:rsid w:val="007B2B03"/>
    <w:rsid w:val="007C6706"/>
    <w:rsid w:val="007F0DC6"/>
    <w:rsid w:val="00811AA5"/>
    <w:rsid w:val="008123E9"/>
    <w:rsid w:val="00825A9B"/>
    <w:rsid w:val="008312F6"/>
    <w:rsid w:val="00851106"/>
    <w:rsid w:val="00853808"/>
    <w:rsid w:val="008662B7"/>
    <w:rsid w:val="00877C40"/>
    <w:rsid w:val="00892247"/>
    <w:rsid w:val="00892556"/>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A00C9F"/>
    <w:rsid w:val="00A0326A"/>
    <w:rsid w:val="00A14834"/>
    <w:rsid w:val="00A250F5"/>
    <w:rsid w:val="00A27D6C"/>
    <w:rsid w:val="00A35A9D"/>
    <w:rsid w:val="00A430B6"/>
    <w:rsid w:val="00A62CD4"/>
    <w:rsid w:val="00A64AA5"/>
    <w:rsid w:val="00A727DC"/>
    <w:rsid w:val="00AA65D6"/>
    <w:rsid w:val="00AA777C"/>
    <w:rsid w:val="00AB0CAB"/>
    <w:rsid w:val="00AE1A6B"/>
    <w:rsid w:val="00B13267"/>
    <w:rsid w:val="00B3002A"/>
    <w:rsid w:val="00B31933"/>
    <w:rsid w:val="00B366BD"/>
    <w:rsid w:val="00B4733D"/>
    <w:rsid w:val="00B66676"/>
    <w:rsid w:val="00B81207"/>
    <w:rsid w:val="00BA1F25"/>
    <w:rsid w:val="00BA7B88"/>
    <w:rsid w:val="00BC69E2"/>
    <w:rsid w:val="00BD33FC"/>
    <w:rsid w:val="00BE14EA"/>
    <w:rsid w:val="00C007DD"/>
    <w:rsid w:val="00C27D2F"/>
    <w:rsid w:val="00CB53A4"/>
    <w:rsid w:val="00CB5A7E"/>
    <w:rsid w:val="00CC0E45"/>
    <w:rsid w:val="00CF40C2"/>
    <w:rsid w:val="00CF4CF3"/>
    <w:rsid w:val="00D24D11"/>
    <w:rsid w:val="00D27283"/>
    <w:rsid w:val="00D27D47"/>
    <w:rsid w:val="00D30C68"/>
    <w:rsid w:val="00D66467"/>
    <w:rsid w:val="00D86E6E"/>
    <w:rsid w:val="00DD1BD0"/>
    <w:rsid w:val="00DD515B"/>
    <w:rsid w:val="00DD708B"/>
    <w:rsid w:val="00DE6E86"/>
    <w:rsid w:val="00DF1F78"/>
    <w:rsid w:val="00DF7F34"/>
    <w:rsid w:val="00E05FEB"/>
    <w:rsid w:val="00E25438"/>
    <w:rsid w:val="00E26E52"/>
    <w:rsid w:val="00E47D4F"/>
    <w:rsid w:val="00E52271"/>
    <w:rsid w:val="00E63256"/>
    <w:rsid w:val="00EA4FD5"/>
    <w:rsid w:val="00EB073A"/>
    <w:rsid w:val="00EB47E2"/>
    <w:rsid w:val="00EE43B4"/>
    <w:rsid w:val="00EF6692"/>
    <w:rsid w:val="00F0191A"/>
    <w:rsid w:val="00F139C0"/>
    <w:rsid w:val="00F21DC6"/>
    <w:rsid w:val="00F24F08"/>
    <w:rsid w:val="00F25394"/>
    <w:rsid w:val="00F328A7"/>
    <w:rsid w:val="00F37B82"/>
    <w:rsid w:val="00F42909"/>
    <w:rsid w:val="00F43C45"/>
    <w:rsid w:val="00F45438"/>
    <w:rsid w:val="00F56A06"/>
    <w:rsid w:val="00F610BE"/>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2016-08-24T09:57:00Z</cp:lastPrinted>
  <dcterms:created xsi:type="dcterms:W3CDTF">2016-09-14T08:43:00Z</dcterms:created>
  <dcterms:modified xsi:type="dcterms:W3CDTF">2016-09-14T08:43:00Z</dcterms:modified>
</cp:coreProperties>
</file>