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5B" w:rsidRDefault="0044135B" w:rsidP="00A72D34">
      <w:pPr>
        <w:spacing w:before="100" w:beforeAutospacing="1" w:after="100" w:afterAutospacing="1"/>
        <w:ind w:left="720" w:hanging="720"/>
        <w:jc w:val="both"/>
        <w:outlineLvl w:val="0"/>
        <w:rPr>
          <w:rFonts w:ascii="Arial" w:hAnsi="Arial" w:cs="Arial"/>
          <w:b/>
          <w:bCs/>
          <w:sz w:val="22"/>
          <w:szCs w:val="22"/>
          <w:lang w:val="en-US"/>
        </w:rPr>
      </w:pPr>
      <w:r>
        <w:rPr>
          <w:rFonts w:ascii="Arial" w:hAnsi="Arial" w:cs="Arial"/>
          <w:b/>
          <w:bCs/>
          <w:sz w:val="22"/>
          <w:szCs w:val="22"/>
          <w:lang w:val="en-US"/>
        </w:rPr>
        <w:t>National Assembly</w:t>
      </w:r>
    </w:p>
    <w:p w:rsidR="0044135B" w:rsidRDefault="0044135B" w:rsidP="00A72D34">
      <w:pPr>
        <w:spacing w:before="100" w:beforeAutospacing="1" w:after="100" w:afterAutospacing="1"/>
        <w:ind w:left="720" w:hanging="720"/>
        <w:jc w:val="both"/>
        <w:outlineLvl w:val="0"/>
        <w:rPr>
          <w:rFonts w:ascii="Arial" w:hAnsi="Arial" w:cs="Arial"/>
          <w:b/>
          <w:bCs/>
          <w:sz w:val="22"/>
          <w:szCs w:val="22"/>
          <w:lang w:val="en-US"/>
        </w:rPr>
      </w:pPr>
      <w:r>
        <w:rPr>
          <w:rFonts w:ascii="Arial" w:hAnsi="Arial" w:cs="Arial"/>
          <w:b/>
          <w:bCs/>
          <w:sz w:val="22"/>
          <w:szCs w:val="22"/>
          <w:lang w:val="en-US"/>
        </w:rPr>
        <w:t>Question No. 525</w:t>
      </w:r>
    </w:p>
    <w:p w:rsidR="00A72D34" w:rsidRPr="00A72D34" w:rsidRDefault="00A72D34" w:rsidP="00A72D34">
      <w:pPr>
        <w:spacing w:before="100" w:beforeAutospacing="1" w:after="100" w:afterAutospacing="1"/>
        <w:ind w:left="720" w:hanging="720"/>
        <w:jc w:val="both"/>
        <w:outlineLvl w:val="0"/>
        <w:rPr>
          <w:rFonts w:ascii="Arial" w:hAnsi="Arial" w:cs="Arial"/>
          <w:sz w:val="22"/>
          <w:szCs w:val="22"/>
          <w:lang w:val="en-US"/>
        </w:rPr>
      </w:pPr>
      <w:proofErr w:type="spellStart"/>
      <w:r w:rsidRPr="00A72D34">
        <w:rPr>
          <w:rFonts w:ascii="Arial" w:hAnsi="Arial" w:cs="Arial"/>
          <w:b/>
          <w:bCs/>
          <w:sz w:val="22"/>
          <w:szCs w:val="22"/>
          <w:lang w:val="en-US"/>
        </w:rPr>
        <w:t>Mrs</w:t>
      </w:r>
      <w:proofErr w:type="spellEnd"/>
      <w:r w:rsidRPr="00A72D34">
        <w:rPr>
          <w:rFonts w:ascii="Arial" w:hAnsi="Arial" w:cs="Arial"/>
          <w:b/>
          <w:bCs/>
          <w:sz w:val="22"/>
          <w:szCs w:val="22"/>
          <w:lang w:val="en-US"/>
        </w:rPr>
        <w:t xml:space="preserve"> N I </w:t>
      </w:r>
      <w:proofErr w:type="spellStart"/>
      <w:r w:rsidRPr="00A72D34">
        <w:rPr>
          <w:rFonts w:ascii="Arial" w:hAnsi="Arial" w:cs="Arial"/>
          <w:b/>
          <w:bCs/>
          <w:sz w:val="22"/>
          <w:szCs w:val="22"/>
          <w:lang w:val="en-US"/>
        </w:rPr>
        <w:t>Tarabella</w:t>
      </w:r>
      <w:proofErr w:type="spellEnd"/>
      <w:r w:rsidRPr="00A72D34">
        <w:rPr>
          <w:rFonts w:ascii="Arial" w:hAnsi="Arial" w:cs="Arial"/>
          <w:b/>
          <w:bCs/>
          <w:sz w:val="22"/>
          <w:szCs w:val="22"/>
          <w:lang w:val="en-US"/>
        </w:rPr>
        <w:t xml:space="preserve"> </w:t>
      </w:r>
      <w:proofErr w:type="spellStart"/>
      <w:r w:rsidRPr="00A72D34">
        <w:rPr>
          <w:rFonts w:ascii="Arial" w:hAnsi="Arial" w:cs="Arial"/>
          <w:b/>
          <w:bCs/>
          <w:sz w:val="22"/>
          <w:szCs w:val="22"/>
          <w:lang w:val="en-US"/>
        </w:rPr>
        <w:t>Marchesi</w:t>
      </w:r>
      <w:proofErr w:type="spellEnd"/>
      <w:r w:rsidRPr="00A72D34">
        <w:rPr>
          <w:rFonts w:ascii="Arial" w:hAnsi="Arial" w:cs="Arial"/>
          <w:b/>
          <w:bCs/>
          <w:sz w:val="22"/>
          <w:szCs w:val="22"/>
          <w:lang w:val="en-US"/>
        </w:rPr>
        <w:t xml:space="preserve"> (DA) to </w:t>
      </w:r>
      <w:r w:rsidRPr="00A72D34">
        <w:rPr>
          <w:rFonts w:ascii="Arial" w:hAnsi="Arial" w:cs="Arial"/>
          <w:b/>
          <w:bCs/>
          <w:sz w:val="22"/>
          <w:szCs w:val="22"/>
        </w:rPr>
        <w:t xml:space="preserve">ask </w:t>
      </w:r>
      <w:r w:rsidRPr="00A72D34">
        <w:rPr>
          <w:rFonts w:ascii="Arial" w:hAnsi="Arial" w:cs="Arial"/>
          <w:b/>
          <w:bCs/>
          <w:sz w:val="22"/>
          <w:szCs w:val="22"/>
          <w:lang w:val="en-US"/>
        </w:rPr>
        <w:t xml:space="preserve">the Minister to </w:t>
      </w:r>
      <w:r w:rsidRPr="00A72D34">
        <w:rPr>
          <w:rFonts w:ascii="Arial" w:hAnsi="Arial" w:cs="Arial"/>
          <w:b/>
          <w:bCs/>
          <w:sz w:val="22"/>
          <w:szCs w:val="22"/>
        </w:rPr>
        <w:t xml:space="preserve">ask </w:t>
      </w:r>
      <w:r w:rsidRPr="00A72D34">
        <w:rPr>
          <w:rFonts w:ascii="Arial" w:hAnsi="Arial" w:cs="Arial"/>
          <w:b/>
          <w:bCs/>
          <w:sz w:val="22"/>
          <w:szCs w:val="22"/>
          <w:lang w:val="en-US"/>
        </w:rPr>
        <w:t>the Minister of Transport</w:t>
      </w:r>
      <w:r w:rsidRPr="00A72D34">
        <w:rPr>
          <w:rFonts w:ascii="Arial" w:hAnsi="Arial" w:cs="Arial"/>
          <w:b/>
          <w:bCs/>
          <w:sz w:val="22"/>
          <w:szCs w:val="22"/>
          <w:lang w:val="en-US"/>
        </w:rPr>
        <w:fldChar w:fldCharType="begin"/>
      </w:r>
      <w:r w:rsidRPr="00A72D34">
        <w:rPr>
          <w:rFonts w:ascii="Arial" w:hAnsi="Arial" w:cs="Arial"/>
          <w:sz w:val="22"/>
          <w:szCs w:val="22"/>
        </w:rPr>
        <w:instrText xml:space="preserve"> XE "</w:instrText>
      </w:r>
      <w:r w:rsidRPr="00A72D34">
        <w:rPr>
          <w:rFonts w:ascii="Arial" w:hAnsi="Arial" w:cs="Arial"/>
          <w:b/>
          <w:sz w:val="22"/>
          <w:szCs w:val="22"/>
        </w:rPr>
        <w:instrText>Transport</w:instrText>
      </w:r>
      <w:r w:rsidRPr="00A72D34">
        <w:rPr>
          <w:rFonts w:ascii="Arial" w:hAnsi="Arial" w:cs="Arial"/>
          <w:sz w:val="22"/>
          <w:szCs w:val="22"/>
        </w:rPr>
        <w:instrText xml:space="preserve">" </w:instrText>
      </w:r>
      <w:r w:rsidRPr="00A72D34">
        <w:rPr>
          <w:rFonts w:ascii="Arial" w:hAnsi="Arial" w:cs="Arial"/>
          <w:b/>
          <w:bCs/>
          <w:sz w:val="22"/>
          <w:szCs w:val="22"/>
          <w:lang w:val="en-US"/>
        </w:rPr>
        <w:fldChar w:fldCharType="end"/>
      </w:r>
      <w:r w:rsidRPr="00A72D34">
        <w:rPr>
          <w:rFonts w:ascii="Arial" w:hAnsi="Arial" w:cs="Arial"/>
          <w:b/>
          <w:bCs/>
          <w:sz w:val="22"/>
          <w:szCs w:val="22"/>
          <w:lang w:val="en-US"/>
        </w:rPr>
        <w:t>:</w:t>
      </w:r>
    </w:p>
    <w:p w:rsidR="00A72D34" w:rsidRPr="00A72D34" w:rsidRDefault="00A72D34" w:rsidP="008248E4">
      <w:pPr>
        <w:spacing w:before="100" w:beforeAutospacing="1" w:after="100" w:afterAutospacing="1"/>
        <w:ind w:left="567" w:hanging="567"/>
        <w:jc w:val="both"/>
        <w:rPr>
          <w:rFonts w:ascii="Arial" w:hAnsi="Arial" w:cs="Arial"/>
          <w:sz w:val="22"/>
          <w:szCs w:val="22"/>
        </w:rPr>
      </w:pPr>
      <w:r w:rsidRPr="00A72D34">
        <w:rPr>
          <w:rFonts w:ascii="Arial" w:hAnsi="Arial" w:cs="Arial"/>
          <w:sz w:val="22"/>
          <w:szCs w:val="22"/>
        </w:rPr>
        <w:t>(1)</w:t>
      </w:r>
      <w:r w:rsidRPr="00A72D34">
        <w:rPr>
          <w:rFonts w:ascii="Arial" w:hAnsi="Arial" w:cs="Arial"/>
          <w:sz w:val="22"/>
          <w:szCs w:val="22"/>
        </w:rPr>
        <w:tab/>
        <w:t>Whether any staff member in his department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A72D34">
        <w:rPr>
          <w:rFonts w:ascii="Arial" w:hAnsi="Arial" w:cs="Arial"/>
          <w:sz w:val="22"/>
          <w:szCs w:val="22"/>
        </w:rPr>
        <w:t>i</w:t>
      </w:r>
      <w:proofErr w:type="spellEnd"/>
      <w:r w:rsidRPr="00A72D34">
        <w:rPr>
          <w:rFonts w:ascii="Arial" w:hAnsi="Arial" w:cs="Arial"/>
          <w:sz w:val="22"/>
          <w:szCs w:val="22"/>
        </w:rPr>
        <w:t>) what number of staff members and (ii) in what job and/or work categories are the specified staff members employed;</w:t>
      </w:r>
    </w:p>
    <w:p w:rsidR="00A72D34" w:rsidRPr="00A72D34" w:rsidRDefault="00A72D34" w:rsidP="008248E4">
      <w:pPr>
        <w:spacing w:before="100" w:beforeAutospacing="1" w:after="100" w:afterAutospacing="1"/>
        <w:ind w:left="567" w:hanging="567"/>
        <w:jc w:val="both"/>
        <w:rPr>
          <w:rFonts w:ascii="Arial" w:hAnsi="Arial" w:cs="Arial"/>
          <w:sz w:val="22"/>
          <w:szCs w:val="22"/>
        </w:rPr>
      </w:pPr>
      <w:r w:rsidRPr="00BB19DC">
        <w:rPr>
          <w:rFonts w:ascii="Times New Roman" w:hAnsi="Times New Roman"/>
          <w:szCs w:val="24"/>
        </w:rPr>
        <w:t>(2)</w:t>
      </w:r>
      <w:r w:rsidRPr="00BB19DC">
        <w:rPr>
          <w:rFonts w:ascii="Times New Roman" w:hAnsi="Times New Roman"/>
          <w:szCs w:val="24"/>
        </w:rPr>
        <w:tab/>
      </w:r>
      <w:r w:rsidRPr="00A72D34">
        <w:rPr>
          <w:rFonts w:ascii="Arial" w:hAnsi="Arial" w:cs="Arial"/>
          <w:sz w:val="22"/>
          <w:szCs w:val="22"/>
        </w:rPr>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A72D34">
        <w:rPr>
          <w:rFonts w:ascii="Arial" w:hAnsi="Arial" w:cs="Arial"/>
          <w:color w:val="000000"/>
          <w:sz w:val="22"/>
          <w:szCs w:val="22"/>
        </w:rPr>
        <w:t>?</w:t>
      </w:r>
      <w:r w:rsidRPr="00A72D34">
        <w:rPr>
          <w:rFonts w:ascii="Arial" w:hAnsi="Arial" w:cs="Arial"/>
          <w:color w:val="000000"/>
          <w:sz w:val="22"/>
          <w:szCs w:val="22"/>
        </w:rPr>
        <w:tab/>
      </w:r>
      <w:r w:rsidRPr="00A72D34">
        <w:rPr>
          <w:rFonts w:ascii="Arial" w:hAnsi="Arial" w:cs="Arial"/>
          <w:color w:val="000000"/>
          <w:sz w:val="22"/>
          <w:szCs w:val="22"/>
        </w:rPr>
        <w:tab/>
      </w:r>
      <w:r w:rsidRPr="00A72D34">
        <w:rPr>
          <w:rFonts w:ascii="Arial" w:hAnsi="Arial" w:cs="Arial"/>
          <w:color w:val="000000"/>
          <w:sz w:val="22"/>
          <w:szCs w:val="22"/>
        </w:rPr>
        <w:tab/>
      </w:r>
      <w:r w:rsidRPr="00A72D34">
        <w:rPr>
          <w:rFonts w:ascii="Arial" w:hAnsi="Arial" w:cs="Arial"/>
          <w:color w:val="000000"/>
          <w:sz w:val="22"/>
          <w:szCs w:val="22"/>
        </w:rPr>
        <w:tab/>
      </w:r>
      <w:r w:rsidRPr="00A72D34">
        <w:rPr>
          <w:rFonts w:ascii="Arial" w:hAnsi="Arial" w:cs="Arial"/>
          <w:color w:val="000000"/>
          <w:sz w:val="22"/>
          <w:szCs w:val="22"/>
        </w:rPr>
        <w:tab/>
      </w:r>
      <w:r w:rsidRPr="00A72D34">
        <w:rPr>
          <w:rFonts w:ascii="Arial" w:hAnsi="Arial" w:cs="Arial"/>
          <w:sz w:val="22"/>
          <w:szCs w:val="22"/>
        </w:rPr>
        <w:t>NW581E</w:t>
      </w:r>
    </w:p>
    <w:p w:rsidR="00431FFB" w:rsidRDefault="00E33EB5"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R</w:t>
      </w:r>
      <w:r w:rsidR="00431FFB" w:rsidRPr="00431FFB">
        <w:rPr>
          <w:rFonts w:ascii="Arial" w:hAnsi="Arial" w:cs="Arial"/>
          <w:b/>
          <w:bCs/>
          <w:sz w:val="22"/>
          <w:szCs w:val="22"/>
          <w:lang w:val="en-US"/>
        </w:rPr>
        <w:t>EPLY</w:t>
      </w:r>
    </w:p>
    <w:p w:rsidR="00E33EB5" w:rsidRPr="00820710" w:rsidRDefault="00E33EB5" w:rsidP="00E33EB5">
      <w:pPr>
        <w:tabs>
          <w:tab w:val="left" w:pos="567"/>
          <w:tab w:val="left" w:pos="1620"/>
          <w:tab w:val="left" w:pos="2340"/>
        </w:tabs>
        <w:spacing w:line="360" w:lineRule="auto"/>
        <w:rPr>
          <w:rFonts w:ascii="Arial" w:hAnsi="Arial" w:cs="Arial"/>
          <w:bCs/>
          <w:sz w:val="22"/>
          <w:szCs w:val="22"/>
          <w:lang w:val="en-US"/>
        </w:rPr>
      </w:pPr>
      <w:r w:rsidRPr="00820710">
        <w:rPr>
          <w:rFonts w:ascii="Arial" w:hAnsi="Arial" w:cs="Arial"/>
          <w:bCs/>
          <w:sz w:val="22"/>
          <w:szCs w:val="22"/>
          <w:lang w:val="en-US"/>
        </w:rPr>
        <w:t>(1)(a) Yes</w:t>
      </w:r>
    </w:p>
    <w:p w:rsidR="00E33EB5" w:rsidRDefault="00E33EB5" w:rsidP="00E33EB5">
      <w:pPr>
        <w:tabs>
          <w:tab w:val="left" w:pos="540"/>
          <w:tab w:val="left" w:pos="1134"/>
          <w:tab w:val="left" w:pos="1418"/>
          <w:tab w:val="left" w:pos="2340"/>
        </w:tabs>
        <w:ind w:left="540"/>
        <w:jc w:val="both"/>
        <w:rPr>
          <w:rFonts w:ascii="Arial" w:hAnsi="Arial" w:cs="Arial"/>
          <w:sz w:val="22"/>
          <w:szCs w:val="22"/>
        </w:rPr>
      </w:pPr>
      <w:r w:rsidRPr="00820710">
        <w:rPr>
          <w:rFonts w:ascii="Arial" w:hAnsi="Arial" w:cs="Arial"/>
          <w:bCs/>
          <w:sz w:val="22"/>
          <w:szCs w:val="22"/>
          <w:lang w:val="en-US"/>
        </w:rPr>
        <w:t>(1) (b) Yes</w:t>
      </w:r>
      <w:r>
        <w:rPr>
          <w:rFonts w:ascii="Arial" w:hAnsi="Arial" w:cs="Arial"/>
          <w:bCs/>
          <w:sz w:val="22"/>
          <w:szCs w:val="22"/>
          <w:lang w:val="en-US"/>
        </w:rPr>
        <w:t>,</w:t>
      </w:r>
      <w:r w:rsidRPr="00820710">
        <w:rPr>
          <w:rFonts w:ascii="Arial" w:hAnsi="Arial" w:cs="Arial"/>
          <w:b/>
          <w:sz w:val="22"/>
          <w:szCs w:val="22"/>
        </w:rPr>
        <w:t xml:space="preserve"> </w:t>
      </w:r>
      <w:r w:rsidRPr="00820710">
        <w:rPr>
          <w:rFonts w:ascii="Arial" w:hAnsi="Arial" w:cs="Arial"/>
          <w:sz w:val="22"/>
          <w:szCs w:val="22"/>
        </w:rPr>
        <w:t xml:space="preserve">The Application for Employee to Perform Other Remunerative Work in </w:t>
      </w:r>
      <w:proofErr w:type="gramStart"/>
      <w:r w:rsidRPr="00820710">
        <w:rPr>
          <w:rFonts w:ascii="Arial" w:hAnsi="Arial" w:cs="Arial"/>
          <w:sz w:val="22"/>
          <w:szCs w:val="22"/>
        </w:rPr>
        <w:t>terms</w:t>
      </w:r>
      <w:proofErr w:type="gramEnd"/>
      <w:r w:rsidRPr="00820710">
        <w:rPr>
          <w:rFonts w:ascii="Arial" w:hAnsi="Arial" w:cs="Arial"/>
          <w:sz w:val="22"/>
          <w:szCs w:val="22"/>
        </w:rPr>
        <w:t xml:space="preserve"> of Section 30 of the Public Service act; is valid for the period of twelve (12) months, thereafter the employee is expected to re-apply for new approval before he or she can continue to work again</w:t>
      </w:r>
      <w:r>
        <w:rPr>
          <w:rFonts w:ascii="Arial" w:hAnsi="Arial" w:cs="Arial"/>
          <w:sz w:val="22"/>
          <w:szCs w:val="22"/>
        </w:rPr>
        <w:t>.</w:t>
      </w:r>
    </w:p>
    <w:p w:rsidR="00E33EB5" w:rsidRDefault="00E33EB5" w:rsidP="00E33EB5">
      <w:pPr>
        <w:tabs>
          <w:tab w:val="left" w:pos="540"/>
          <w:tab w:val="left" w:pos="1134"/>
          <w:tab w:val="left" w:pos="1418"/>
          <w:tab w:val="left" w:pos="2340"/>
        </w:tabs>
        <w:ind w:left="540"/>
        <w:jc w:val="both"/>
        <w:rPr>
          <w:rFonts w:ascii="Arial" w:hAnsi="Arial" w:cs="Arial"/>
          <w:sz w:val="22"/>
          <w:szCs w:val="22"/>
        </w:rPr>
      </w:pPr>
    </w:p>
    <w:p w:rsidR="00E33EB5" w:rsidRPr="00820710" w:rsidRDefault="00E33EB5" w:rsidP="00E33EB5">
      <w:pPr>
        <w:tabs>
          <w:tab w:val="left" w:pos="540"/>
          <w:tab w:val="left" w:pos="1134"/>
          <w:tab w:val="left" w:pos="1418"/>
          <w:tab w:val="left" w:pos="2340"/>
        </w:tabs>
        <w:ind w:left="540"/>
        <w:jc w:val="both"/>
        <w:rPr>
          <w:rFonts w:ascii="Arial" w:hAnsi="Arial" w:cs="Arial"/>
          <w:bCs/>
          <w:sz w:val="22"/>
          <w:szCs w:val="22"/>
          <w:lang w:val="en-US"/>
        </w:rPr>
      </w:pPr>
      <w:r>
        <w:rPr>
          <w:rFonts w:ascii="Arial" w:hAnsi="Arial" w:cs="Arial"/>
          <w:sz w:val="22"/>
          <w:szCs w:val="22"/>
        </w:rPr>
        <w:t>(1) (</w:t>
      </w:r>
      <w:proofErr w:type="spellStart"/>
      <w:proofErr w:type="gramStart"/>
      <w:r>
        <w:rPr>
          <w:rFonts w:ascii="Arial" w:hAnsi="Arial" w:cs="Arial"/>
          <w:sz w:val="22"/>
          <w:szCs w:val="22"/>
        </w:rPr>
        <w:t>i</w:t>
      </w:r>
      <w:proofErr w:type="spellEnd"/>
      <w:proofErr w:type="gramEnd"/>
      <w:r>
        <w:rPr>
          <w:rFonts w:ascii="Arial" w:hAnsi="Arial" w:cs="Arial"/>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6"/>
      </w:tblGrid>
      <w:tr w:rsidR="00E33EB5" w:rsidRPr="00EA0590" w:rsidTr="00AF6C4F">
        <w:tc>
          <w:tcPr>
            <w:tcW w:w="2694" w:type="dxa"/>
            <w:shd w:val="clear" w:color="auto" w:fill="A6A6A6"/>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Number of applications</w:t>
            </w:r>
          </w:p>
        </w:tc>
        <w:tc>
          <w:tcPr>
            <w:tcW w:w="2126" w:type="dxa"/>
            <w:shd w:val="clear" w:color="auto" w:fill="A6A6A6"/>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Year</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2014</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2015</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3</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2016</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10</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2017</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6</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2018</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9</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2019</w:t>
            </w:r>
          </w:p>
        </w:tc>
      </w:tr>
      <w:tr w:rsidR="00E33EB5" w:rsidRPr="00EA0590" w:rsidTr="00AF6C4F">
        <w:tc>
          <w:tcPr>
            <w:tcW w:w="2694"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6</w:t>
            </w:r>
          </w:p>
        </w:tc>
        <w:tc>
          <w:tcPr>
            <w:tcW w:w="2126" w:type="dxa"/>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jc w:val="center"/>
              <w:outlineLvl w:val="0"/>
              <w:rPr>
                <w:rFonts w:ascii="Arial" w:eastAsia="Calibri" w:hAnsi="Arial" w:cs="Arial"/>
                <w:b/>
                <w:bCs/>
                <w:sz w:val="22"/>
                <w:szCs w:val="22"/>
              </w:rPr>
            </w:pPr>
            <w:r w:rsidRPr="00EA0590">
              <w:rPr>
                <w:rFonts w:ascii="Arial" w:eastAsia="Calibri" w:hAnsi="Arial" w:cs="Arial"/>
                <w:b/>
                <w:bCs/>
                <w:sz w:val="22"/>
                <w:szCs w:val="22"/>
              </w:rPr>
              <w:t>2020</w:t>
            </w:r>
          </w:p>
        </w:tc>
      </w:tr>
      <w:tr w:rsidR="00E33EB5" w:rsidRPr="00EA0590" w:rsidTr="00AF6C4F">
        <w:tc>
          <w:tcPr>
            <w:tcW w:w="4820" w:type="dxa"/>
            <w:gridSpan w:val="2"/>
            <w:shd w:val="clear" w:color="auto" w:fill="auto"/>
          </w:tcPr>
          <w:p w:rsidR="00E33EB5" w:rsidRPr="00EA0590" w:rsidRDefault="00E33EB5" w:rsidP="00AF6C4F">
            <w:pPr>
              <w:tabs>
                <w:tab w:val="left" w:pos="540"/>
                <w:tab w:val="left" w:pos="1134"/>
                <w:tab w:val="left" w:pos="1620"/>
                <w:tab w:val="left" w:pos="2340"/>
              </w:tabs>
              <w:spacing w:before="100" w:beforeAutospacing="1" w:after="100" w:afterAutospacing="1" w:line="360" w:lineRule="auto"/>
              <w:outlineLvl w:val="0"/>
              <w:rPr>
                <w:rFonts w:ascii="Arial" w:eastAsia="Calibri" w:hAnsi="Arial" w:cs="Arial"/>
                <w:b/>
                <w:bCs/>
                <w:sz w:val="22"/>
                <w:szCs w:val="22"/>
              </w:rPr>
            </w:pPr>
            <w:r w:rsidRPr="00EA0590">
              <w:rPr>
                <w:rFonts w:ascii="Arial" w:eastAsia="Calibri" w:hAnsi="Arial" w:cs="Arial"/>
                <w:b/>
                <w:bCs/>
                <w:sz w:val="22"/>
                <w:szCs w:val="22"/>
              </w:rPr>
              <w:t>Total = 38</w:t>
            </w:r>
          </w:p>
        </w:tc>
      </w:tr>
    </w:tbl>
    <w:p w:rsidR="00E33EB5" w:rsidRPr="008248E4" w:rsidRDefault="00E33EB5" w:rsidP="00E33EB5">
      <w:pPr>
        <w:tabs>
          <w:tab w:val="left" w:pos="540"/>
          <w:tab w:val="left" w:pos="1134"/>
          <w:tab w:val="left" w:pos="1701"/>
          <w:tab w:val="left" w:pos="2340"/>
        </w:tabs>
        <w:spacing w:before="100" w:beforeAutospacing="1" w:after="100" w:afterAutospacing="1" w:line="360" w:lineRule="auto"/>
        <w:ind w:left="1134"/>
        <w:jc w:val="both"/>
        <w:outlineLvl w:val="0"/>
        <w:rPr>
          <w:rFonts w:ascii="Arial" w:hAnsi="Arial" w:cs="Arial"/>
          <w:bCs/>
          <w:sz w:val="22"/>
          <w:szCs w:val="22"/>
        </w:rPr>
      </w:pPr>
      <w:r>
        <w:rPr>
          <w:rFonts w:ascii="Arial" w:hAnsi="Arial" w:cs="Arial"/>
          <w:sz w:val="22"/>
          <w:szCs w:val="22"/>
        </w:rPr>
        <w:t xml:space="preserve">(1)(ii)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tblGrid>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line="360" w:lineRule="auto"/>
              <w:jc w:val="both"/>
              <w:outlineLvl w:val="0"/>
              <w:rPr>
                <w:rFonts w:ascii="Arial" w:eastAsia="Calibri" w:hAnsi="Arial" w:cs="Arial"/>
                <w:b/>
                <w:bCs/>
                <w:sz w:val="22"/>
                <w:szCs w:val="22"/>
              </w:rPr>
            </w:pPr>
            <w:r w:rsidRPr="00C56A39">
              <w:rPr>
                <w:rFonts w:ascii="Arial" w:eastAsia="Calibri" w:hAnsi="Arial" w:cs="Arial"/>
                <w:b/>
                <w:bCs/>
                <w:sz w:val="22"/>
                <w:szCs w:val="22"/>
              </w:rPr>
              <w:t>Job / Work Categories</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line="360" w:lineRule="auto"/>
              <w:jc w:val="both"/>
              <w:outlineLvl w:val="0"/>
              <w:rPr>
                <w:rFonts w:ascii="Arial" w:eastAsia="Calibri" w:hAnsi="Arial" w:cs="Arial"/>
                <w:b/>
                <w:bCs/>
                <w:sz w:val="22"/>
                <w:szCs w:val="22"/>
              </w:rPr>
            </w:pPr>
            <w:r w:rsidRPr="00C56A39">
              <w:rPr>
                <w:rFonts w:ascii="Arial" w:eastAsia="Calibri" w:hAnsi="Arial" w:cs="Arial"/>
                <w:b/>
                <w:bCs/>
                <w:sz w:val="22"/>
                <w:szCs w:val="22"/>
              </w:rPr>
              <w:t>Year</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line="360" w:lineRule="auto"/>
              <w:jc w:val="both"/>
              <w:outlineLvl w:val="0"/>
              <w:rPr>
                <w:rFonts w:ascii="Arial" w:eastAsia="Calibri" w:hAnsi="Arial" w:cs="Arial"/>
                <w:bCs/>
                <w:sz w:val="22"/>
                <w:szCs w:val="22"/>
              </w:rPr>
            </w:pPr>
            <w:r w:rsidRPr="00C56A39">
              <w:rPr>
                <w:rFonts w:ascii="Arial" w:eastAsia="Calibri" w:hAnsi="Arial" w:cs="Arial"/>
                <w:bCs/>
                <w:sz w:val="22"/>
                <w:szCs w:val="22"/>
              </w:rPr>
              <w:t>Middle Management (2)</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line="360" w:lineRule="auto"/>
              <w:jc w:val="both"/>
              <w:outlineLvl w:val="0"/>
              <w:rPr>
                <w:rFonts w:ascii="Arial" w:eastAsia="Calibri" w:hAnsi="Arial" w:cs="Arial"/>
                <w:bCs/>
                <w:sz w:val="22"/>
                <w:szCs w:val="22"/>
              </w:rPr>
            </w:pPr>
            <w:r w:rsidRPr="00C56A39">
              <w:rPr>
                <w:rFonts w:ascii="Arial" w:eastAsia="Calibri" w:hAnsi="Arial" w:cs="Arial"/>
                <w:bCs/>
                <w:sz w:val="22"/>
                <w:szCs w:val="22"/>
              </w:rPr>
              <w:t>2014</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Senior Management (1) and Middle Management (1)</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2015</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lastRenderedPageBreak/>
              <w:t>Middle Management (1), lower level (2)</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2016</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Senior Management (1) Middle Management (5) and lower level (Clerical) (3)</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2017</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Senior Management (1), Middle Management (3) and lower level (2)</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2018</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Senior Management (1), Middle Management (6), lower level (2)</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2019</w:t>
            </w:r>
          </w:p>
        </w:tc>
      </w:tr>
      <w:tr w:rsidR="00E33EB5" w:rsidRPr="00C56A39" w:rsidTr="00AF6C4F">
        <w:tc>
          <w:tcPr>
            <w:tcW w:w="3828"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Senior Management (1), Middle Management (1) and lower level (1)</w:t>
            </w:r>
          </w:p>
        </w:tc>
        <w:tc>
          <w:tcPr>
            <w:tcW w:w="3543" w:type="dxa"/>
            <w:shd w:val="clear" w:color="auto" w:fill="auto"/>
          </w:tcPr>
          <w:p w:rsidR="00E33EB5" w:rsidRPr="00C56A39" w:rsidRDefault="00E33EB5" w:rsidP="00AF6C4F">
            <w:pPr>
              <w:tabs>
                <w:tab w:val="left" w:pos="540"/>
                <w:tab w:val="left" w:pos="1134"/>
                <w:tab w:val="left" w:pos="1701"/>
                <w:tab w:val="left" w:pos="2340"/>
              </w:tabs>
              <w:spacing w:before="100" w:beforeAutospacing="1" w:after="100" w:afterAutospacing="1"/>
              <w:jc w:val="both"/>
              <w:outlineLvl w:val="0"/>
              <w:rPr>
                <w:rFonts w:ascii="Arial" w:eastAsia="Calibri" w:hAnsi="Arial" w:cs="Arial"/>
                <w:bCs/>
                <w:sz w:val="22"/>
                <w:szCs w:val="22"/>
              </w:rPr>
            </w:pPr>
            <w:r w:rsidRPr="00C56A39">
              <w:rPr>
                <w:rFonts w:ascii="Arial" w:eastAsia="Calibri" w:hAnsi="Arial" w:cs="Arial"/>
                <w:bCs/>
                <w:sz w:val="22"/>
                <w:szCs w:val="22"/>
              </w:rPr>
              <w:t>2020</w:t>
            </w:r>
          </w:p>
        </w:tc>
      </w:tr>
    </w:tbl>
    <w:p w:rsidR="00E33EB5" w:rsidRPr="003147BE" w:rsidRDefault="00E33EB5" w:rsidP="00E33EB5">
      <w:pPr>
        <w:tabs>
          <w:tab w:val="left" w:pos="540"/>
          <w:tab w:val="left" w:pos="1134"/>
          <w:tab w:val="left" w:pos="1620"/>
          <w:tab w:val="left" w:pos="2340"/>
        </w:tabs>
        <w:spacing w:before="100" w:beforeAutospacing="1" w:after="100" w:afterAutospacing="1" w:line="360" w:lineRule="auto"/>
        <w:jc w:val="both"/>
        <w:outlineLvl w:val="0"/>
        <w:rPr>
          <w:rFonts w:ascii="Arial" w:hAnsi="Arial" w:cs="Arial"/>
          <w:bCs/>
          <w:sz w:val="22"/>
          <w:szCs w:val="22"/>
        </w:rPr>
      </w:pPr>
      <w:r>
        <w:rPr>
          <w:rFonts w:ascii="Arial" w:hAnsi="Arial" w:cs="Arial"/>
          <w:sz w:val="22"/>
          <w:szCs w:val="22"/>
        </w:rPr>
        <w:t xml:space="preserve">            (2) </w:t>
      </w:r>
      <w:r w:rsidRPr="00820710">
        <w:rPr>
          <w:rFonts w:ascii="Arial" w:hAnsi="Arial" w:cs="Arial"/>
          <w:bCs/>
          <w:sz w:val="22"/>
          <w:szCs w:val="22"/>
        </w:rPr>
        <w:t xml:space="preserve"> </w:t>
      </w:r>
      <w:r>
        <w:rPr>
          <w:rFonts w:ascii="Arial" w:hAnsi="Arial" w:cs="Arial"/>
          <w:bCs/>
          <w:sz w:val="22"/>
          <w:szCs w:val="22"/>
        </w:rPr>
        <w:t>Yes</w:t>
      </w:r>
    </w:p>
    <w:p w:rsidR="00E33EB5" w:rsidRDefault="00E33EB5" w:rsidP="00E33EB5">
      <w:pPr>
        <w:tabs>
          <w:tab w:val="left" w:pos="1134"/>
        </w:tabs>
        <w:jc w:val="both"/>
        <w:outlineLvl w:val="0"/>
        <w:rPr>
          <w:rFonts w:ascii="Arial" w:hAnsi="Arial" w:cs="Arial"/>
          <w:sz w:val="22"/>
          <w:szCs w:val="22"/>
        </w:rPr>
      </w:pPr>
      <w:r>
        <w:rPr>
          <w:rFonts w:ascii="Arial" w:hAnsi="Arial" w:cs="Arial"/>
          <w:sz w:val="22"/>
          <w:szCs w:val="22"/>
        </w:rPr>
        <w:t xml:space="preserve">      (2) (</w:t>
      </w:r>
      <w:proofErr w:type="gramStart"/>
      <w:r>
        <w:rPr>
          <w:rFonts w:ascii="Arial" w:hAnsi="Arial" w:cs="Arial"/>
          <w:sz w:val="22"/>
          <w:szCs w:val="22"/>
        </w:rPr>
        <w:t>a</w:t>
      </w:r>
      <w:proofErr w:type="gramEnd"/>
      <w:r>
        <w:rPr>
          <w:rFonts w:ascii="Arial" w:hAnsi="Arial" w:cs="Arial"/>
          <w:sz w:val="22"/>
          <w:szCs w:val="22"/>
        </w:rPr>
        <w:t xml:space="preserve">) </w:t>
      </w:r>
      <w:r w:rsidRPr="00820710">
        <w:rPr>
          <w:rFonts w:ascii="Arial" w:hAnsi="Arial" w:cs="Arial"/>
          <w:sz w:val="22"/>
          <w:szCs w:val="22"/>
        </w:rPr>
        <w:t xml:space="preserve">DPSA Directive/Guide on Managing of Other Remunerative Work in the Public </w:t>
      </w:r>
      <w:r>
        <w:rPr>
          <w:rFonts w:ascii="Arial" w:hAnsi="Arial" w:cs="Arial"/>
          <w:sz w:val="22"/>
          <w:szCs w:val="22"/>
        </w:rPr>
        <w:t xml:space="preserve">   </w:t>
      </w:r>
    </w:p>
    <w:p w:rsidR="00E33EB5" w:rsidRDefault="00E33EB5" w:rsidP="00E33EB5">
      <w:pPr>
        <w:tabs>
          <w:tab w:val="left" w:pos="1134"/>
        </w:tabs>
        <w:jc w:val="both"/>
        <w:outlineLvl w:val="0"/>
        <w:rPr>
          <w:rFonts w:ascii="Arial" w:hAnsi="Arial" w:cs="Arial"/>
          <w:sz w:val="22"/>
          <w:szCs w:val="22"/>
        </w:rPr>
      </w:pPr>
      <w:r>
        <w:rPr>
          <w:rFonts w:ascii="Arial" w:hAnsi="Arial" w:cs="Arial"/>
          <w:sz w:val="22"/>
          <w:szCs w:val="22"/>
        </w:rPr>
        <w:t xml:space="preserve">                </w:t>
      </w:r>
      <w:r w:rsidRPr="00820710">
        <w:rPr>
          <w:rFonts w:ascii="Arial" w:hAnsi="Arial" w:cs="Arial"/>
          <w:sz w:val="22"/>
          <w:szCs w:val="22"/>
        </w:rPr>
        <w:t>Service;</w:t>
      </w:r>
    </w:p>
    <w:p w:rsidR="00E33EB5" w:rsidRPr="00820710" w:rsidRDefault="00E33EB5" w:rsidP="00E33EB5">
      <w:pPr>
        <w:tabs>
          <w:tab w:val="left" w:pos="1134"/>
        </w:tabs>
        <w:jc w:val="both"/>
        <w:outlineLvl w:val="0"/>
        <w:rPr>
          <w:rFonts w:ascii="Arial" w:hAnsi="Arial" w:cs="Arial"/>
          <w:sz w:val="22"/>
          <w:szCs w:val="22"/>
        </w:rPr>
      </w:pPr>
    </w:p>
    <w:p w:rsidR="00E33EB5" w:rsidRDefault="00E33EB5" w:rsidP="00E33EB5">
      <w:pPr>
        <w:tabs>
          <w:tab w:val="left" w:pos="1134"/>
        </w:tabs>
        <w:jc w:val="both"/>
        <w:outlineLvl w:val="0"/>
        <w:rPr>
          <w:rFonts w:ascii="Arial" w:hAnsi="Arial" w:cs="Arial"/>
          <w:sz w:val="22"/>
          <w:szCs w:val="22"/>
        </w:rPr>
      </w:pPr>
      <w:r>
        <w:rPr>
          <w:rFonts w:ascii="Arial" w:hAnsi="Arial" w:cs="Arial"/>
          <w:b/>
          <w:sz w:val="22"/>
          <w:szCs w:val="22"/>
        </w:rPr>
        <w:t xml:space="preserve">      </w:t>
      </w:r>
      <w:r w:rsidRPr="00820710">
        <w:rPr>
          <w:rFonts w:ascii="Arial" w:hAnsi="Arial" w:cs="Arial"/>
          <w:sz w:val="22"/>
          <w:szCs w:val="22"/>
        </w:rPr>
        <w:t>(2)(b)</w:t>
      </w:r>
      <w:r>
        <w:rPr>
          <w:rFonts w:ascii="Arial" w:hAnsi="Arial" w:cs="Arial"/>
          <w:b/>
          <w:sz w:val="22"/>
          <w:szCs w:val="22"/>
        </w:rPr>
        <w:t xml:space="preserve"> </w:t>
      </w:r>
      <w:r w:rsidRPr="00820710">
        <w:rPr>
          <w:rFonts w:ascii="Arial" w:hAnsi="Arial" w:cs="Arial"/>
          <w:sz w:val="22"/>
          <w:szCs w:val="22"/>
        </w:rPr>
        <w:t xml:space="preserve">According to HR Delegations: The Salary Level 1- 12 is considered and approved </w:t>
      </w:r>
      <w:r>
        <w:rPr>
          <w:rFonts w:ascii="Arial" w:hAnsi="Arial" w:cs="Arial"/>
          <w:sz w:val="22"/>
          <w:szCs w:val="22"/>
        </w:rPr>
        <w:t xml:space="preserve"> </w:t>
      </w:r>
    </w:p>
    <w:p w:rsidR="00E33EB5" w:rsidRDefault="00E33EB5" w:rsidP="00E33EB5">
      <w:pPr>
        <w:tabs>
          <w:tab w:val="left" w:pos="1134"/>
        </w:tabs>
        <w:jc w:val="both"/>
        <w:outlineLvl w:val="0"/>
        <w:rPr>
          <w:rFonts w:ascii="Arial" w:hAnsi="Arial" w:cs="Arial"/>
          <w:sz w:val="22"/>
          <w:szCs w:val="22"/>
        </w:rPr>
      </w:pPr>
      <w:r>
        <w:rPr>
          <w:rFonts w:ascii="Arial" w:hAnsi="Arial" w:cs="Arial"/>
          <w:sz w:val="22"/>
          <w:szCs w:val="22"/>
        </w:rPr>
        <w:t xml:space="preserve">                </w:t>
      </w:r>
      <w:proofErr w:type="gramStart"/>
      <w:r w:rsidRPr="00820710">
        <w:rPr>
          <w:rFonts w:ascii="Arial" w:hAnsi="Arial" w:cs="Arial"/>
          <w:sz w:val="22"/>
          <w:szCs w:val="22"/>
        </w:rPr>
        <w:t>by</w:t>
      </w:r>
      <w:proofErr w:type="gramEnd"/>
      <w:r w:rsidRPr="00820710">
        <w:rPr>
          <w:rFonts w:ascii="Arial" w:hAnsi="Arial" w:cs="Arial"/>
          <w:sz w:val="22"/>
          <w:szCs w:val="22"/>
        </w:rPr>
        <w:t xml:space="preserve"> the Director-General and the Salary Level 13 and above is considered and </w:t>
      </w:r>
      <w:r>
        <w:rPr>
          <w:rFonts w:ascii="Arial" w:hAnsi="Arial" w:cs="Arial"/>
          <w:sz w:val="22"/>
          <w:szCs w:val="22"/>
        </w:rPr>
        <w:t xml:space="preserve">  </w:t>
      </w:r>
    </w:p>
    <w:p w:rsidR="00E33EB5" w:rsidRDefault="00E33EB5" w:rsidP="00E33EB5">
      <w:pPr>
        <w:tabs>
          <w:tab w:val="left" w:pos="1134"/>
        </w:tabs>
        <w:jc w:val="both"/>
        <w:outlineLvl w:val="0"/>
        <w:rPr>
          <w:rFonts w:ascii="Arial" w:hAnsi="Arial" w:cs="Arial"/>
          <w:sz w:val="22"/>
          <w:szCs w:val="22"/>
        </w:rPr>
      </w:pPr>
      <w:r>
        <w:rPr>
          <w:rFonts w:ascii="Arial" w:hAnsi="Arial" w:cs="Arial"/>
          <w:sz w:val="22"/>
          <w:szCs w:val="22"/>
        </w:rPr>
        <w:t xml:space="preserve">                </w:t>
      </w:r>
      <w:proofErr w:type="gramStart"/>
      <w:r w:rsidRPr="00820710">
        <w:rPr>
          <w:rFonts w:ascii="Arial" w:hAnsi="Arial" w:cs="Arial"/>
          <w:sz w:val="22"/>
          <w:szCs w:val="22"/>
        </w:rPr>
        <w:t>approved</w:t>
      </w:r>
      <w:proofErr w:type="gramEnd"/>
      <w:r w:rsidRPr="00820710">
        <w:rPr>
          <w:rFonts w:ascii="Arial" w:hAnsi="Arial" w:cs="Arial"/>
          <w:sz w:val="22"/>
          <w:szCs w:val="22"/>
        </w:rPr>
        <w:t xml:space="preserve"> by the Minister  </w:t>
      </w:r>
    </w:p>
    <w:p w:rsidR="00E33EB5" w:rsidRDefault="00E33EB5" w:rsidP="00E33EB5">
      <w:pPr>
        <w:tabs>
          <w:tab w:val="left" w:pos="1134"/>
        </w:tabs>
        <w:jc w:val="both"/>
        <w:outlineLvl w:val="0"/>
        <w:rPr>
          <w:rFonts w:ascii="Arial" w:hAnsi="Arial" w:cs="Arial"/>
          <w:bCs/>
          <w:sz w:val="22"/>
          <w:szCs w:val="22"/>
        </w:rPr>
      </w:pPr>
    </w:p>
    <w:p w:rsidR="00E33EB5" w:rsidRPr="00E33EB5" w:rsidRDefault="00E33EB5" w:rsidP="00E33EB5">
      <w:pPr>
        <w:tabs>
          <w:tab w:val="left" w:pos="1134"/>
        </w:tabs>
        <w:jc w:val="both"/>
        <w:outlineLvl w:val="0"/>
        <w:rPr>
          <w:rFonts w:ascii="Arial" w:hAnsi="Arial" w:cs="Arial"/>
          <w:bCs/>
          <w:sz w:val="22"/>
          <w:szCs w:val="22"/>
        </w:rPr>
      </w:pPr>
      <w:r>
        <w:rPr>
          <w:rFonts w:ascii="Arial" w:hAnsi="Arial" w:cs="Arial"/>
          <w:bCs/>
          <w:sz w:val="22"/>
          <w:szCs w:val="22"/>
        </w:rPr>
        <w:t xml:space="preserve">      </w:t>
      </w:r>
      <w:r>
        <w:rPr>
          <w:rFonts w:ascii="Arial" w:hAnsi="Arial" w:cs="Arial"/>
          <w:sz w:val="22"/>
          <w:szCs w:val="22"/>
        </w:rPr>
        <w:t xml:space="preserve">(2)(c) </w:t>
      </w:r>
      <w:r w:rsidRPr="00E33EB5">
        <w:rPr>
          <w:rFonts w:ascii="Arial" w:hAnsi="Arial" w:cs="Arial"/>
          <w:sz w:val="22"/>
          <w:szCs w:val="22"/>
        </w:rPr>
        <w:t>N</w:t>
      </w:r>
      <w:r>
        <w:rPr>
          <w:rFonts w:ascii="Arial" w:hAnsi="Arial" w:cs="Arial"/>
          <w:sz w:val="22"/>
          <w:szCs w:val="22"/>
        </w:rPr>
        <w:t>one</w:t>
      </w:r>
    </w:p>
    <w:p w:rsidR="00E33EB5" w:rsidRPr="00C0689B" w:rsidRDefault="00E33EB5" w:rsidP="00E33EB5">
      <w:pPr>
        <w:tabs>
          <w:tab w:val="left" w:pos="540"/>
          <w:tab w:val="left" w:pos="1134"/>
          <w:tab w:val="left" w:pos="1620"/>
          <w:tab w:val="left" w:pos="2340"/>
        </w:tabs>
        <w:spacing w:before="100" w:beforeAutospacing="1" w:after="100" w:afterAutospacing="1" w:line="360" w:lineRule="auto"/>
        <w:jc w:val="both"/>
        <w:outlineLvl w:val="0"/>
        <w:rPr>
          <w:rFonts w:ascii="Arial" w:hAnsi="Arial" w:cs="Arial"/>
          <w:b/>
          <w:bCs/>
          <w:sz w:val="22"/>
          <w:szCs w:val="22"/>
        </w:rPr>
      </w:pPr>
      <w:r>
        <w:rPr>
          <w:rFonts w:ascii="Arial" w:hAnsi="Arial" w:cs="Arial"/>
          <w:sz w:val="22"/>
          <w:szCs w:val="22"/>
        </w:rPr>
        <w:t xml:space="preserve">      (2)(d) Not applicable</w:t>
      </w:r>
    </w:p>
    <w:p w:rsidR="00BC22EA" w:rsidRPr="00BC22EA" w:rsidRDefault="00BC22EA" w:rsidP="00BC22EA">
      <w:pPr>
        <w:jc w:val="both"/>
        <w:rPr>
          <w:rFonts w:ascii="Arial" w:eastAsia="Calibri" w:hAnsi="Arial" w:cs="Arial"/>
          <w:sz w:val="22"/>
          <w:szCs w:val="22"/>
        </w:rPr>
      </w:pPr>
    </w:p>
    <w:sectPr w:rsidR="00BC22EA" w:rsidRPr="00BC22EA"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68" w:rsidRDefault="00AE1768">
      <w:r>
        <w:separator/>
      </w:r>
    </w:p>
  </w:endnote>
  <w:endnote w:type="continuationSeparator" w:id="0">
    <w:p w:rsidR="00AE1768" w:rsidRDefault="00AE1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68" w:rsidRDefault="00AE1768">
      <w:r>
        <w:separator/>
      </w:r>
    </w:p>
  </w:footnote>
  <w:footnote w:type="continuationSeparator" w:id="0">
    <w:p w:rsidR="00AE1768" w:rsidRDefault="00AE1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A31A4"/>
    <w:multiLevelType w:val="hybridMultilevel"/>
    <w:tmpl w:val="F170FB6C"/>
    <w:lvl w:ilvl="0" w:tplc="EF563E7E">
      <w:start w:val="2"/>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EE1E23"/>
    <w:multiLevelType w:val="hybridMultilevel"/>
    <w:tmpl w:val="7E82B688"/>
    <w:lvl w:ilvl="0" w:tplc="8B5CA932">
      <w:start w:val="2"/>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1FA81B7E"/>
    <w:multiLevelType w:val="hybridMultilevel"/>
    <w:tmpl w:val="55B447B6"/>
    <w:lvl w:ilvl="0" w:tplc="A0EC18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3DC575A"/>
    <w:multiLevelType w:val="hybridMultilevel"/>
    <w:tmpl w:val="F774A20C"/>
    <w:lvl w:ilvl="0" w:tplc="96C6D64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60B31FE"/>
    <w:multiLevelType w:val="hybridMultilevel"/>
    <w:tmpl w:val="3B940B96"/>
    <w:lvl w:ilvl="0" w:tplc="1C09000B">
      <w:start w:val="1"/>
      <w:numFmt w:val="bullet"/>
      <w:lvlText w:val=""/>
      <w:lvlJc w:val="left"/>
      <w:pPr>
        <w:ind w:left="1980" w:hanging="360"/>
      </w:pPr>
      <w:rPr>
        <w:rFonts w:ascii="Wingdings" w:hAnsi="Wingdings"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8D869A3"/>
    <w:multiLevelType w:val="hybridMultilevel"/>
    <w:tmpl w:val="C87A6734"/>
    <w:lvl w:ilvl="0" w:tplc="1C090001">
      <w:start w:val="1"/>
      <w:numFmt w:val="bullet"/>
      <w:lvlText w:val=""/>
      <w:lvlJc w:val="left"/>
      <w:pPr>
        <w:ind w:left="2574" w:hanging="360"/>
      </w:pPr>
      <w:rPr>
        <w:rFonts w:ascii="Symbol" w:hAnsi="Symbol" w:hint="default"/>
      </w:rPr>
    </w:lvl>
    <w:lvl w:ilvl="1" w:tplc="1C090003" w:tentative="1">
      <w:start w:val="1"/>
      <w:numFmt w:val="bullet"/>
      <w:lvlText w:val="o"/>
      <w:lvlJc w:val="left"/>
      <w:pPr>
        <w:ind w:left="3294" w:hanging="360"/>
      </w:pPr>
      <w:rPr>
        <w:rFonts w:ascii="Courier New" w:hAnsi="Courier New" w:cs="Courier New" w:hint="default"/>
      </w:rPr>
    </w:lvl>
    <w:lvl w:ilvl="2" w:tplc="1C090005" w:tentative="1">
      <w:start w:val="1"/>
      <w:numFmt w:val="bullet"/>
      <w:lvlText w:val=""/>
      <w:lvlJc w:val="left"/>
      <w:pPr>
        <w:ind w:left="4014" w:hanging="360"/>
      </w:pPr>
      <w:rPr>
        <w:rFonts w:ascii="Wingdings" w:hAnsi="Wingdings" w:hint="default"/>
      </w:rPr>
    </w:lvl>
    <w:lvl w:ilvl="3" w:tplc="1C090001" w:tentative="1">
      <w:start w:val="1"/>
      <w:numFmt w:val="bullet"/>
      <w:lvlText w:val=""/>
      <w:lvlJc w:val="left"/>
      <w:pPr>
        <w:ind w:left="4734" w:hanging="360"/>
      </w:pPr>
      <w:rPr>
        <w:rFonts w:ascii="Symbol" w:hAnsi="Symbol" w:hint="default"/>
      </w:rPr>
    </w:lvl>
    <w:lvl w:ilvl="4" w:tplc="1C090003" w:tentative="1">
      <w:start w:val="1"/>
      <w:numFmt w:val="bullet"/>
      <w:lvlText w:val="o"/>
      <w:lvlJc w:val="left"/>
      <w:pPr>
        <w:ind w:left="5454" w:hanging="360"/>
      </w:pPr>
      <w:rPr>
        <w:rFonts w:ascii="Courier New" w:hAnsi="Courier New" w:cs="Courier New" w:hint="default"/>
      </w:rPr>
    </w:lvl>
    <w:lvl w:ilvl="5" w:tplc="1C090005" w:tentative="1">
      <w:start w:val="1"/>
      <w:numFmt w:val="bullet"/>
      <w:lvlText w:val=""/>
      <w:lvlJc w:val="left"/>
      <w:pPr>
        <w:ind w:left="6174" w:hanging="360"/>
      </w:pPr>
      <w:rPr>
        <w:rFonts w:ascii="Wingdings" w:hAnsi="Wingdings" w:hint="default"/>
      </w:rPr>
    </w:lvl>
    <w:lvl w:ilvl="6" w:tplc="1C090001" w:tentative="1">
      <w:start w:val="1"/>
      <w:numFmt w:val="bullet"/>
      <w:lvlText w:val=""/>
      <w:lvlJc w:val="left"/>
      <w:pPr>
        <w:ind w:left="6894" w:hanging="360"/>
      </w:pPr>
      <w:rPr>
        <w:rFonts w:ascii="Symbol" w:hAnsi="Symbol" w:hint="default"/>
      </w:rPr>
    </w:lvl>
    <w:lvl w:ilvl="7" w:tplc="1C090003" w:tentative="1">
      <w:start w:val="1"/>
      <w:numFmt w:val="bullet"/>
      <w:lvlText w:val="o"/>
      <w:lvlJc w:val="left"/>
      <w:pPr>
        <w:ind w:left="7614" w:hanging="360"/>
      </w:pPr>
      <w:rPr>
        <w:rFonts w:ascii="Courier New" w:hAnsi="Courier New" w:cs="Courier New" w:hint="default"/>
      </w:rPr>
    </w:lvl>
    <w:lvl w:ilvl="8" w:tplc="1C090005" w:tentative="1">
      <w:start w:val="1"/>
      <w:numFmt w:val="bullet"/>
      <w:lvlText w:val=""/>
      <w:lvlJc w:val="left"/>
      <w:pPr>
        <w:ind w:left="8334"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CB22EC6"/>
    <w:multiLevelType w:val="hybridMultilevel"/>
    <w:tmpl w:val="94724BDC"/>
    <w:lvl w:ilvl="0" w:tplc="20B4E0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38160A"/>
    <w:multiLevelType w:val="hybridMultilevel"/>
    <w:tmpl w:val="6B2ABCDE"/>
    <w:lvl w:ilvl="0" w:tplc="2208F6B2">
      <w:start w:val="1"/>
      <w:numFmt w:val="lowerRoman"/>
      <w:lvlText w:val="(%1)"/>
      <w:lvlJc w:val="left"/>
      <w:pPr>
        <w:ind w:left="1850" w:hanging="720"/>
      </w:pPr>
      <w:rPr>
        <w:rFonts w:hint="default"/>
        <w:b w:val="0"/>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75666E0"/>
    <w:multiLevelType w:val="hybridMultilevel"/>
    <w:tmpl w:val="6F0C8C70"/>
    <w:lvl w:ilvl="0" w:tplc="5EC0806E">
      <w:start w:val="1"/>
      <w:numFmt w:val="lowerLetter"/>
      <w:lvlText w:val="(%1)"/>
      <w:lvlJc w:val="left"/>
      <w:pPr>
        <w:ind w:left="1340" w:hanging="62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3"/>
  </w:num>
  <w:num w:numId="3">
    <w:abstractNumId w:val="21"/>
  </w:num>
  <w:num w:numId="4">
    <w:abstractNumId w:val="24"/>
  </w:num>
  <w:num w:numId="5">
    <w:abstractNumId w:val="18"/>
  </w:num>
  <w:num w:numId="6">
    <w:abstractNumId w:val="16"/>
  </w:num>
  <w:num w:numId="7">
    <w:abstractNumId w:val="12"/>
  </w:num>
  <w:num w:numId="8">
    <w:abstractNumId w:val="3"/>
  </w:num>
  <w:num w:numId="9">
    <w:abstractNumId w:val="19"/>
  </w:num>
  <w:num w:numId="10">
    <w:abstractNumId w:val="10"/>
  </w:num>
  <w:num w:numId="11">
    <w:abstractNumId w:val="6"/>
  </w:num>
  <w:num w:numId="12">
    <w:abstractNumId w:val="14"/>
  </w:num>
  <w:num w:numId="13">
    <w:abstractNumId w:val="1"/>
  </w:num>
  <w:num w:numId="14">
    <w:abstractNumId w:val="22"/>
  </w:num>
  <w:num w:numId="15">
    <w:abstractNumId w:val="17"/>
  </w:num>
  <w:num w:numId="16">
    <w:abstractNumId w:val="20"/>
  </w:num>
  <w:num w:numId="17">
    <w:abstractNumId w:val="0"/>
  </w:num>
  <w:num w:numId="18">
    <w:abstractNumId w:val="5"/>
  </w:num>
  <w:num w:numId="19">
    <w:abstractNumId w:val="15"/>
  </w:num>
  <w:num w:numId="20">
    <w:abstractNumId w:val="8"/>
  </w:num>
  <w:num w:numId="21">
    <w:abstractNumId w:val="11"/>
  </w:num>
  <w:num w:numId="22">
    <w:abstractNumId w:val="23"/>
  </w:num>
  <w:num w:numId="23">
    <w:abstractNumId w:val="25"/>
  </w:num>
  <w:num w:numId="24">
    <w:abstractNumId w:val="7"/>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4110B"/>
    <w:rsid w:val="00052E60"/>
    <w:rsid w:val="00064000"/>
    <w:rsid w:val="000D2FCC"/>
    <w:rsid w:val="000E46E0"/>
    <w:rsid w:val="00107B84"/>
    <w:rsid w:val="00130913"/>
    <w:rsid w:val="00171648"/>
    <w:rsid w:val="001A6EB5"/>
    <w:rsid w:val="001B3A9C"/>
    <w:rsid w:val="001C0016"/>
    <w:rsid w:val="001C466D"/>
    <w:rsid w:val="001D1711"/>
    <w:rsid w:val="001E56FC"/>
    <w:rsid w:val="001F04AB"/>
    <w:rsid w:val="00237995"/>
    <w:rsid w:val="00237C59"/>
    <w:rsid w:val="002425A4"/>
    <w:rsid w:val="00252FE4"/>
    <w:rsid w:val="00257095"/>
    <w:rsid w:val="002765E6"/>
    <w:rsid w:val="00287706"/>
    <w:rsid w:val="002B33E9"/>
    <w:rsid w:val="002D6438"/>
    <w:rsid w:val="003147BE"/>
    <w:rsid w:val="003148C1"/>
    <w:rsid w:val="00337C35"/>
    <w:rsid w:val="0037735D"/>
    <w:rsid w:val="0038074E"/>
    <w:rsid w:val="0038097C"/>
    <w:rsid w:val="00395FAB"/>
    <w:rsid w:val="003E6EEB"/>
    <w:rsid w:val="003E7A1C"/>
    <w:rsid w:val="0040324C"/>
    <w:rsid w:val="00411BD1"/>
    <w:rsid w:val="00411F12"/>
    <w:rsid w:val="00426AE2"/>
    <w:rsid w:val="00431FFB"/>
    <w:rsid w:val="00437E91"/>
    <w:rsid w:val="0044135B"/>
    <w:rsid w:val="00471AD3"/>
    <w:rsid w:val="00485272"/>
    <w:rsid w:val="00510ACC"/>
    <w:rsid w:val="0053543F"/>
    <w:rsid w:val="00557631"/>
    <w:rsid w:val="005C31F0"/>
    <w:rsid w:val="00607381"/>
    <w:rsid w:val="00611598"/>
    <w:rsid w:val="00636266"/>
    <w:rsid w:val="006532B9"/>
    <w:rsid w:val="00661147"/>
    <w:rsid w:val="00666D4D"/>
    <w:rsid w:val="00673B92"/>
    <w:rsid w:val="00675536"/>
    <w:rsid w:val="00677616"/>
    <w:rsid w:val="006B2B5E"/>
    <w:rsid w:val="006D6D8A"/>
    <w:rsid w:val="007058EE"/>
    <w:rsid w:val="007269C6"/>
    <w:rsid w:val="007341C8"/>
    <w:rsid w:val="00740923"/>
    <w:rsid w:val="00765CB9"/>
    <w:rsid w:val="007737C5"/>
    <w:rsid w:val="007A4670"/>
    <w:rsid w:val="007C3628"/>
    <w:rsid w:val="007C49D3"/>
    <w:rsid w:val="007D1DB5"/>
    <w:rsid w:val="007F4FB6"/>
    <w:rsid w:val="00820710"/>
    <w:rsid w:val="008248E4"/>
    <w:rsid w:val="008415E3"/>
    <w:rsid w:val="00846684"/>
    <w:rsid w:val="00854EEA"/>
    <w:rsid w:val="00857E66"/>
    <w:rsid w:val="0088592E"/>
    <w:rsid w:val="008C423C"/>
    <w:rsid w:val="008D2789"/>
    <w:rsid w:val="009007BA"/>
    <w:rsid w:val="00970C1F"/>
    <w:rsid w:val="009837A4"/>
    <w:rsid w:val="009A75BD"/>
    <w:rsid w:val="009B47B9"/>
    <w:rsid w:val="009C2DDB"/>
    <w:rsid w:val="009F40C5"/>
    <w:rsid w:val="00A054A7"/>
    <w:rsid w:val="00A14605"/>
    <w:rsid w:val="00A24093"/>
    <w:rsid w:val="00A37C4B"/>
    <w:rsid w:val="00A72D34"/>
    <w:rsid w:val="00A74B01"/>
    <w:rsid w:val="00A80870"/>
    <w:rsid w:val="00AD7A5B"/>
    <w:rsid w:val="00AE1768"/>
    <w:rsid w:val="00AF6C4F"/>
    <w:rsid w:val="00B70328"/>
    <w:rsid w:val="00B83217"/>
    <w:rsid w:val="00BA0A9C"/>
    <w:rsid w:val="00BC22EA"/>
    <w:rsid w:val="00BD5EF8"/>
    <w:rsid w:val="00BE08BF"/>
    <w:rsid w:val="00C0689B"/>
    <w:rsid w:val="00C56433"/>
    <w:rsid w:val="00C56A39"/>
    <w:rsid w:val="00C7054F"/>
    <w:rsid w:val="00C815E6"/>
    <w:rsid w:val="00C9190C"/>
    <w:rsid w:val="00CC12C9"/>
    <w:rsid w:val="00CD56BE"/>
    <w:rsid w:val="00CE11EF"/>
    <w:rsid w:val="00CE4231"/>
    <w:rsid w:val="00CF46F2"/>
    <w:rsid w:val="00D76D32"/>
    <w:rsid w:val="00DA3F5F"/>
    <w:rsid w:val="00DB7340"/>
    <w:rsid w:val="00DF3929"/>
    <w:rsid w:val="00E31BCF"/>
    <w:rsid w:val="00E33EB5"/>
    <w:rsid w:val="00E3479A"/>
    <w:rsid w:val="00E42C01"/>
    <w:rsid w:val="00E51CF2"/>
    <w:rsid w:val="00EA0590"/>
    <w:rsid w:val="00EB4F6D"/>
    <w:rsid w:val="00EC3A80"/>
    <w:rsid w:val="00EC672F"/>
    <w:rsid w:val="00EF4F84"/>
    <w:rsid w:val="00F47916"/>
    <w:rsid w:val="00F72FDD"/>
    <w:rsid w:val="00F81A73"/>
    <w:rsid w:val="00F924CF"/>
    <w:rsid w:val="00FA54F7"/>
    <w:rsid w:val="00FC49AD"/>
    <w:rsid w:val="00FC63AA"/>
    <w:rsid w:val="00FD4470"/>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Ntombi Nesther</dc:creator>
  <cp:lastModifiedBy>USER</cp:lastModifiedBy>
  <cp:revision>2</cp:revision>
  <cp:lastPrinted>2020-11-04T09:49:00Z</cp:lastPrinted>
  <dcterms:created xsi:type="dcterms:W3CDTF">2021-04-12T12:25:00Z</dcterms:created>
  <dcterms:modified xsi:type="dcterms:W3CDTF">2021-04-12T12:25:00Z</dcterms:modified>
</cp:coreProperties>
</file>