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w:t>
      </w:r>
      <w:r w:rsidR="00FD3306">
        <w:rPr>
          <w:rFonts w:ascii="Arial" w:eastAsia="Times New Roman" w:hAnsi="Arial" w:cs="Arial"/>
          <w:b/>
          <w:snapToGrid w:val="0"/>
          <w:color w:val="000000"/>
          <w:sz w:val="40"/>
          <w:szCs w:val="40"/>
          <w:lang w:val="en-GB"/>
        </w:rPr>
        <w:t>______</w:t>
      </w:r>
    </w:p>
    <w:p w:rsidR="00D33C41" w:rsidRPr="00FD3306"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FD3306">
        <w:rPr>
          <w:rFonts w:ascii="Arial" w:eastAsia="Times New Roman" w:hAnsi="Arial" w:cs="Arial"/>
          <w:b/>
          <w:snapToGrid w:val="0"/>
          <w:color w:val="000000"/>
          <w:sz w:val="24"/>
          <w:szCs w:val="40"/>
          <w:lang w:val="en-GB"/>
        </w:rPr>
        <w:t xml:space="preserve">NATIONAL </w:t>
      </w:r>
      <w:r w:rsidR="001A2DEE" w:rsidRPr="00FD3306">
        <w:rPr>
          <w:rFonts w:ascii="Arial" w:eastAsia="Times New Roman" w:hAnsi="Arial" w:cs="Arial"/>
          <w:b/>
          <w:snapToGrid w:val="0"/>
          <w:color w:val="000000"/>
          <w:sz w:val="24"/>
          <w:szCs w:val="40"/>
          <w:lang w:val="en-GB"/>
        </w:rPr>
        <w:t>ASSEMBLY</w:t>
      </w:r>
    </w:p>
    <w:p w:rsidR="00D33C41" w:rsidRPr="00FD330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FD3306">
        <w:rPr>
          <w:rFonts w:ascii="Arial" w:eastAsia="Times New Roman" w:hAnsi="Arial" w:cs="Arial"/>
          <w:b/>
          <w:snapToGrid w:val="0"/>
          <w:sz w:val="24"/>
          <w:szCs w:val="40"/>
          <w:lang w:val="en-GB"/>
        </w:rPr>
        <w:t>QUESTION NUMBER:</w:t>
      </w:r>
      <w:r w:rsidR="00E556BF" w:rsidRPr="00FD3306">
        <w:rPr>
          <w:rFonts w:ascii="Arial" w:eastAsia="Times New Roman" w:hAnsi="Arial" w:cs="Arial"/>
          <w:b/>
          <w:snapToGrid w:val="0"/>
          <w:sz w:val="24"/>
          <w:szCs w:val="40"/>
          <w:lang w:val="en-GB"/>
        </w:rPr>
        <w:t xml:space="preserve"> </w:t>
      </w:r>
      <w:r w:rsidRPr="00FD3306">
        <w:rPr>
          <w:rFonts w:ascii="Arial" w:eastAsia="Times New Roman" w:hAnsi="Arial" w:cs="Arial"/>
          <w:b/>
          <w:snapToGrid w:val="0"/>
          <w:sz w:val="24"/>
          <w:szCs w:val="40"/>
          <w:lang w:val="en-GB"/>
        </w:rPr>
        <w:tab/>
      </w:r>
      <w:r w:rsidR="00D320C6" w:rsidRPr="00FD3306">
        <w:rPr>
          <w:rFonts w:ascii="Arial" w:eastAsia="Times New Roman" w:hAnsi="Arial" w:cs="Arial"/>
          <w:b/>
          <w:snapToGrid w:val="0"/>
          <w:sz w:val="24"/>
          <w:szCs w:val="40"/>
          <w:lang w:val="en-GB"/>
        </w:rPr>
        <w:t>523</w:t>
      </w:r>
    </w:p>
    <w:p w:rsidR="00D33C41" w:rsidRPr="00FD3306" w:rsidRDefault="00D33C41" w:rsidP="00FB4659">
      <w:pPr>
        <w:spacing w:after="120" w:line="240" w:lineRule="auto"/>
        <w:jc w:val="center"/>
        <w:rPr>
          <w:rFonts w:ascii="Arial" w:eastAsia="Times New Roman" w:hAnsi="Arial" w:cs="Arial"/>
          <w:b/>
          <w:snapToGrid w:val="0"/>
          <w:sz w:val="24"/>
          <w:szCs w:val="40"/>
          <w:lang w:val="en-GB"/>
        </w:rPr>
      </w:pPr>
      <w:r w:rsidRPr="00FD3306">
        <w:rPr>
          <w:rFonts w:ascii="Arial" w:eastAsia="Times New Roman" w:hAnsi="Arial" w:cs="Arial"/>
          <w:b/>
          <w:snapToGrid w:val="0"/>
          <w:sz w:val="24"/>
          <w:szCs w:val="40"/>
          <w:lang w:val="en-GB"/>
        </w:rPr>
        <w:t xml:space="preserve">DATE OF PUBLICATION IN INTERNAL QUESTION PAPER: </w:t>
      </w:r>
      <w:r w:rsidR="00D320C6" w:rsidRPr="00FD3306">
        <w:rPr>
          <w:rFonts w:ascii="Arial" w:eastAsia="Times New Roman" w:hAnsi="Arial" w:cs="Arial"/>
          <w:b/>
          <w:snapToGrid w:val="0"/>
          <w:sz w:val="24"/>
          <w:szCs w:val="40"/>
          <w:lang w:val="en-GB"/>
        </w:rPr>
        <w:t xml:space="preserve">03 MARCH </w:t>
      </w:r>
      <w:r w:rsidR="001A2DEE" w:rsidRPr="00FD3306">
        <w:rPr>
          <w:rFonts w:ascii="Arial" w:eastAsia="Times New Roman" w:hAnsi="Arial" w:cs="Arial"/>
          <w:b/>
          <w:snapToGrid w:val="0"/>
          <w:sz w:val="24"/>
          <w:szCs w:val="40"/>
          <w:lang w:val="en-GB"/>
        </w:rPr>
        <w:t>2023</w:t>
      </w:r>
    </w:p>
    <w:p w:rsidR="00D33C41" w:rsidRPr="00FD3306"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FD3306">
        <w:rPr>
          <w:rFonts w:ascii="Arial" w:eastAsia="Times New Roman" w:hAnsi="Arial" w:cs="Arial"/>
          <w:b/>
          <w:snapToGrid w:val="0"/>
          <w:sz w:val="24"/>
          <w:szCs w:val="40"/>
          <w:lang w:val="en-GB"/>
        </w:rPr>
        <w:t xml:space="preserve">INTERNAL QUESTION PAPER NUMBER: </w:t>
      </w:r>
      <w:r w:rsidR="00D320C6" w:rsidRPr="00FD3306">
        <w:rPr>
          <w:rFonts w:ascii="Arial" w:eastAsia="Times New Roman" w:hAnsi="Arial" w:cs="Arial"/>
          <w:b/>
          <w:snapToGrid w:val="0"/>
          <w:sz w:val="24"/>
          <w:szCs w:val="40"/>
          <w:lang w:val="en-GB"/>
        </w:rPr>
        <w:t>6</w:t>
      </w:r>
      <w:r w:rsidR="002B387B" w:rsidRPr="00FD3306">
        <w:rPr>
          <w:rFonts w:ascii="Arial" w:eastAsia="Times New Roman" w:hAnsi="Arial" w:cs="Arial"/>
          <w:b/>
          <w:snapToGrid w:val="0"/>
          <w:sz w:val="24"/>
          <w:szCs w:val="40"/>
          <w:lang w:val="en-GB"/>
        </w:rPr>
        <w:t xml:space="preserve"> </w:t>
      </w:r>
      <w:r w:rsidR="009E7540" w:rsidRPr="00FD3306">
        <w:rPr>
          <w:rFonts w:ascii="Arial" w:eastAsia="Times New Roman" w:hAnsi="Arial" w:cs="Arial"/>
          <w:b/>
          <w:snapToGrid w:val="0"/>
          <w:sz w:val="24"/>
          <w:szCs w:val="40"/>
          <w:lang w:val="en-GB"/>
        </w:rPr>
        <w:t>- 202</w:t>
      </w:r>
      <w:r w:rsidR="000905DF" w:rsidRPr="00FD3306">
        <w:rPr>
          <w:rFonts w:ascii="Arial" w:eastAsia="Times New Roman" w:hAnsi="Arial" w:cs="Arial"/>
          <w:b/>
          <w:snapToGrid w:val="0"/>
          <w:sz w:val="24"/>
          <w:szCs w:val="40"/>
          <w:lang w:val="en-GB"/>
        </w:rPr>
        <w:t>2</w:t>
      </w:r>
    </w:p>
    <w:p w:rsidR="00D320C6" w:rsidRPr="00FD3306" w:rsidRDefault="00D320C6" w:rsidP="00D320C6">
      <w:pPr>
        <w:spacing w:before="100" w:beforeAutospacing="1" w:after="100" w:afterAutospacing="1" w:line="240" w:lineRule="auto"/>
        <w:ind w:left="709" w:hanging="709"/>
        <w:jc w:val="both"/>
        <w:rPr>
          <w:rFonts w:ascii="Arial" w:hAnsi="Arial" w:cs="Arial"/>
          <w:sz w:val="24"/>
          <w:szCs w:val="40"/>
          <w:lang w:val="en-US" w:eastAsia="en-ZA"/>
        </w:rPr>
      </w:pPr>
      <w:r w:rsidRPr="00FD3306">
        <w:rPr>
          <w:rFonts w:ascii="Arial" w:eastAsia="Times New Roman" w:hAnsi="Arial" w:cs="Arial"/>
          <w:b/>
          <w:sz w:val="24"/>
          <w:szCs w:val="40"/>
          <w:lang w:val="af-ZA"/>
        </w:rPr>
        <w:t>523.</w:t>
      </w:r>
      <w:r w:rsidRPr="00FD3306">
        <w:rPr>
          <w:rFonts w:ascii="Arial" w:eastAsia="Times New Roman" w:hAnsi="Arial" w:cs="Arial"/>
          <w:b/>
          <w:sz w:val="24"/>
          <w:szCs w:val="40"/>
          <w:lang w:val="af-ZA"/>
        </w:rPr>
        <w:tab/>
      </w:r>
      <w:r w:rsidRPr="00FD3306">
        <w:rPr>
          <w:rFonts w:ascii="Arial" w:hAnsi="Arial" w:cs="Arial"/>
          <w:b/>
          <w:bCs/>
          <w:sz w:val="24"/>
          <w:szCs w:val="40"/>
          <w:lang w:val="en-US" w:eastAsia="en-ZA"/>
        </w:rPr>
        <w:t>Ms L L van der Merwe (IFP) to ask the Minister of Social Development</w:t>
      </w:r>
      <w:r w:rsidR="005D113E" w:rsidRPr="00FD3306">
        <w:rPr>
          <w:rFonts w:ascii="Arial" w:hAnsi="Arial" w:cs="Arial"/>
          <w:b/>
          <w:bCs/>
          <w:sz w:val="24"/>
          <w:szCs w:val="40"/>
          <w:lang w:val="en-US" w:eastAsia="en-ZA"/>
        </w:rPr>
        <w:fldChar w:fldCharType="begin"/>
      </w:r>
      <w:r w:rsidRPr="00FD3306">
        <w:rPr>
          <w:rFonts w:ascii="Arial" w:hAnsi="Arial" w:cs="Arial"/>
          <w:sz w:val="24"/>
          <w:szCs w:val="40"/>
        </w:rPr>
        <w:instrText xml:space="preserve"> XE "</w:instrText>
      </w:r>
      <w:r w:rsidRPr="00FD3306">
        <w:rPr>
          <w:rFonts w:ascii="Arial" w:hAnsi="Arial" w:cs="Arial"/>
          <w:b/>
          <w:bCs/>
          <w:sz w:val="24"/>
          <w:szCs w:val="40"/>
          <w:lang w:val="en-US" w:eastAsia="en-ZA"/>
        </w:rPr>
        <w:instrText>Minister of Social Development</w:instrText>
      </w:r>
      <w:r w:rsidRPr="00FD3306">
        <w:rPr>
          <w:rFonts w:ascii="Arial" w:hAnsi="Arial" w:cs="Arial"/>
          <w:sz w:val="24"/>
          <w:szCs w:val="40"/>
        </w:rPr>
        <w:instrText xml:space="preserve">" </w:instrText>
      </w:r>
      <w:r w:rsidR="005D113E" w:rsidRPr="00FD3306">
        <w:rPr>
          <w:rFonts w:ascii="Arial" w:hAnsi="Arial" w:cs="Arial"/>
          <w:b/>
          <w:bCs/>
          <w:sz w:val="24"/>
          <w:szCs w:val="40"/>
          <w:lang w:val="en-US" w:eastAsia="en-ZA"/>
        </w:rPr>
        <w:fldChar w:fldCharType="end"/>
      </w:r>
      <w:r w:rsidRPr="00FD3306">
        <w:rPr>
          <w:rFonts w:ascii="Arial" w:hAnsi="Arial" w:cs="Arial"/>
          <w:b/>
          <w:bCs/>
          <w:sz w:val="24"/>
          <w:szCs w:val="40"/>
          <w:lang w:val="en-US" w:eastAsia="en-ZA"/>
        </w:rPr>
        <w:t>: [</w:t>
      </w:r>
      <w:r w:rsidRPr="00FD3306">
        <w:rPr>
          <w:rFonts w:ascii="Arial" w:hAnsi="Arial" w:cs="Arial"/>
          <w:b/>
          <w:bCs/>
          <w:sz w:val="24"/>
          <w:szCs w:val="40"/>
          <w:lang w:val="en-GB" w:eastAsia="en-ZA"/>
        </w:rPr>
        <w:t>67]</w:t>
      </w:r>
      <w:r w:rsidRPr="00FD3306">
        <w:rPr>
          <w:rFonts w:ascii="Arial" w:hAnsi="Arial" w:cs="Arial"/>
          <w:b/>
          <w:sz w:val="24"/>
          <w:szCs w:val="40"/>
          <w:lang w:eastAsia="en-ZA"/>
        </w:rPr>
        <w:t xml:space="preserve"> [Question submitted for oral reply now placed for written reply because it is in excess of quota (Rule 137(8))]:</w:t>
      </w:r>
    </w:p>
    <w:p w:rsidR="00D320C6" w:rsidRPr="00FD3306" w:rsidRDefault="00D320C6" w:rsidP="00D320C6">
      <w:pPr>
        <w:spacing w:before="240" w:after="0" w:line="240" w:lineRule="auto"/>
        <w:ind w:left="709" w:right="305" w:firstLine="11"/>
        <w:jc w:val="both"/>
        <w:rPr>
          <w:rFonts w:ascii="Arial" w:hAnsi="Arial" w:cs="Arial"/>
          <w:sz w:val="24"/>
          <w:szCs w:val="40"/>
          <w:lang w:val="en-US" w:eastAsia="en-ZA"/>
        </w:rPr>
      </w:pPr>
      <w:r w:rsidRPr="00FD3306">
        <w:rPr>
          <w:rFonts w:ascii="Arial" w:hAnsi="Arial" w:cs="Arial"/>
          <w:sz w:val="24"/>
          <w:szCs w:val="40"/>
          <w:lang w:val="en-US" w:eastAsia="en-ZA"/>
        </w:rPr>
        <w:t xml:space="preserve">What is her department doing to increase support to nonprofit organisations and nongovernmental organisations </w:t>
      </w:r>
      <w:r w:rsidRPr="00FD3306">
        <w:rPr>
          <w:rFonts w:ascii="Arial" w:hAnsi="Arial" w:cs="Arial"/>
          <w:sz w:val="24"/>
          <w:szCs w:val="40"/>
          <w:lang w:val="af-ZA" w:eastAsia="en-ZA"/>
        </w:rPr>
        <w:t>which</w:t>
      </w:r>
      <w:r w:rsidRPr="00FD3306">
        <w:rPr>
          <w:rFonts w:ascii="Arial" w:hAnsi="Arial" w:cs="Arial"/>
          <w:sz w:val="24"/>
          <w:szCs w:val="40"/>
          <w:lang w:val="en-US" w:eastAsia="en-ZA"/>
        </w:rPr>
        <w:t xml:space="preserve"> provide vital services on behalf of the State in service of vulnerable citizens?</w:t>
      </w:r>
      <w:r w:rsidRPr="00FD3306">
        <w:rPr>
          <w:rFonts w:ascii="Arial" w:hAnsi="Arial" w:cs="Arial"/>
          <w:sz w:val="24"/>
          <w:szCs w:val="40"/>
          <w:lang w:val="en-US" w:eastAsia="en-ZA"/>
        </w:rPr>
        <w:tab/>
        <w:t xml:space="preserve">    NW566E</w:t>
      </w:r>
    </w:p>
    <w:p w:rsidR="005D0910" w:rsidRPr="00FD3306" w:rsidRDefault="005D0910" w:rsidP="00FD3306">
      <w:pPr>
        <w:spacing w:before="100" w:beforeAutospacing="1" w:after="100" w:afterAutospacing="1" w:line="240" w:lineRule="auto"/>
        <w:jc w:val="both"/>
        <w:outlineLvl w:val="0"/>
        <w:rPr>
          <w:rFonts w:ascii="Arial" w:hAnsi="Arial" w:cs="Arial"/>
          <w:b/>
          <w:sz w:val="24"/>
          <w:szCs w:val="40"/>
          <w:lang w:val="en-US"/>
        </w:rPr>
      </w:pPr>
    </w:p>
    <w:p w:rsidR="00DA4793" w:rsidRPr="00FD3306" w:rsidRDefault="00DA4793" w:rsidP="00BD3C49">
      <w:pPr>
        <w:spacing w:after="0" w:line="240" w:lineRule="auto"/>
        <w:jc w:val="both"/>
        <w:rPr>
          <w:rFonts w:ascii="Arial" w:eastAsia="Times New Roman" w:hAnsi="Arial" w:cs="Arial"/>
          <w:b/>
          <w:snapToGrid w:val="0"/>
          <w:color w:val="000000"/>
          <w:sz w:val="24"/>
          <w:szCs w:val="40"/>
          <w:lang w:val="en-GB"/>
        </w:rPr>
      </w:pPr>
      <w:r w:rsidRPr="00FD3306">
        <w:rPr>
          <w:rFonts w:ascii="Arial" w:eastAsia="Times New Roman" w:hAnsi="Arial" w:cs="Arial"/>
          <w:b/>
          <w:snapToGrid w:val="0"/>
          <w:color w:val="000000"/>
          <w:sz w:val="24"/>
          <w:szCs w:val="40"/>
          <w:lang w:val="en-GB"/>
        </w:rPr>
        <w:t>REPLY:</w:t>
      </w:r>
    </w:p>
    <w:p w:rsidR="008E2A22" w:rsidRPr="00FD3306" w:rsidRDefault="008E2A22" w:rsidP="00BD3C49">
      <w:pPr>
        <w:spacing w:after="0" w:line="240" w:lineRule="auto"/>
        <w:jc w:val="both"/>
        <w:rPr>
          <w:rFonts w:ascii="Arial" w:eastAsia="Times New Roman" w:hAnsi="Arial" w:cs="Arial"/>
          <w:b/>
          <w:snapToGrid w:val="0"/>
          <w:color w:val="000000"/>
          <w:sz w:val="24"/>
          <w:szCs w:val="40"/>
          <w:lang w:val="en-GB"/>
        </w:rPr>
      </w:pPr>
    </w:p>
    <w:p w:rsidR="00E75A51" w:rsidRPr="00FD3306" w:rsidRDefault="007D25F3" w:rsidP="00700A49">
      <w:pPr>
        <w:spacing w:after="0" w:line="240" w:lineRule="auto"/>
        <w:jc w:val="both"/>
        <w:rPr>
          <w:rFonts w:ascii="Arial" w:hAnsi="Arial" w:cs="Arial"/>
          <w:sz w:val="24"/>
          <w:szCs w:val="40"/>
        </w:rPr>
      </w:pPr>
      <w:r w:rsidRPr="00FD3306">
        <w:rPr>
          <w:rFonts w:ascii="Arial" w:hAnsi="Arial" w:cs="Arial"/>
          <w:sz w:val="24"/>
          <w:szCs w:val="40"/>
          <w:lang w:val="en-US"/>
        </w:rPr>
        <w:t xml:space="preserve">To increase support to </w:t>
      </w:r>
      <w:r w:rsidR="005D0910" w:rsidRPr="00FD3306">
        <w:rPr>
          <w:rFonts w:ascii="Arial" w:hAnsi="Arial" w:cs="Arial"/>
          <w:sz w:val="24"/>
          <w:szCs w:val="40"/>
          <w:lang w:val="en-US"/>
        </w:rPr>
        <w:t xml:space="preserve">organisations (NPOs), the </w:t>
      </w:r>
      <w:r w:rsidRPr="00FD3306">
        <w:rPr>
          <w:rFonts w:ascii="Arial" w:hAnsi="Arial" w:cs="Arial"/>
          <w:sz w:val="24"/>
          <w:szCs w:val="40"/>
          <w:lang w:val="en-US"/>
        </w:rPr>
        <w:t xml:space="preserve">Department relies on </w:t>
      </w:r>
      <w:r w:rsidR="005D0910" w:rsidRPr="00FD3306">
        <w:rPr>
          <w:rFonts w:ascii="Arial" w:hAnsi="Arial" w:cs="Arial"/>
          <w:sz w:val="24"/>
          <w:szCs w:val="40"/>
          <w:lang w:val="en-US"/>
        </w:rPr>
        <w:t>allocations made available by treasur</w:t>
      </w:r>
      <w:r w:rsidR="003A2EBB" w:rsidRPr="00FD3306">
        <w:rPr>
          <w:rFonts w:ascii="Arial" w:hAnsi="Arial" w:cs="Arial"/>
          <w:sz w:val="24"/>
          <w:szCs w:val="40"/>
          <w:lang w:val="en-US"/>
        </w:rPr>
        <w:t>y</w:t>
      </w:r>
      <w:r w:rsidR="005D0910" w:rsidRPr="00FD3306">
        <w:rPr>
          <w:rFonts w:ascii="Arial" w:hAnsi="Arial" w:cs="Arial"/>
          <w:sz w:val="24"/>
          <w:szCs w:val="40"/>
          <w:lang w:val="en-US"/>
        </w:rPr>
        <w:t>, and given the current fiscus constraints, there is limited room to channel more funding</w:t>
      </w:r>
      <w:r w:rsidR="003A2EBB" w:rsidRPr="00FD3306">
        <w:rPr>
          <w:rFonts w:ascii="Arial" w:hAnsi="Arial" w:cs="Arial"/>
          <w:sz w:val="24"/>
          <w:szCs w:val="40"/>
          <w:lang w:val="en-US"/>
        </w:rPr>
        <w:t xml:space="preserve">. </w:t>
      </w:r>
      <w:r w:rsidR="005D0910" w:rsidRPr="00FD3306">
        <w:rPr>
          <w:rFonts w:ascii="Arial" w:hAnsi="Arial" w:cs="Arial"/>
          <w:sz w:val="24"/>
          <w:szCs w:val="40"/>
          <w:lang w:val="en-US"/>
        </w:rPr>
        <w:t xml:space="preserve">However, </w:t>
      </w:r>
      <w:r w:rsidR="003A2EBB" w:rsidRPr="00FD3306">
        <w:rPr>
          <w:rFonts w:ascii="Arial" w:hAnsi="Arial" w:cs="Arial"/>
          <w:sz w:val="24"/>
          <w:szCs w:val="40"/>
        </w:rPr>
        <w:t>the PFMA Section 43(1)(4) allows for departments to shift savings from their operational budget (if any) to transfer payments subject to National Treasury approval.</w:t>
      </w:r>
    </w:p>
    <w:p w:rsidR="00E75A51" w:rsidRPr="00FD3306" w:rsidRDefault="00E75A51" w:rsidP="00700A49">
      <w:pPr>
        <w:pStyle w:val="ListParagraph"/>
        <w:spacing w:after="0" w:line="240" w:lineRule="auto"/>
        <w:ind w:left="0"/>
        <w:jc w:val="both"/>
        <w:rPr>
          <w:rFonts w:ascii="Arial" w:hAnsi="Arial" w:cs="Arial"/>
          <w:sz w:val="24"/>
          <w:szCs w:val="40"/>
        </w:rPr>
      </w:pPr>
    </w:p>
    <w:p w:rsidR="00E75A51" w:rsidRPr="00FD3306" w:rsidRDefault="005D0910" w:rsidP="00700A49">
      <w:pPr>
        <w:spacing w:after="0" w:line="240" w:lineRule="auto"/>
        <w:jc w:val="both"/>
        <w:rPr>
          <w:rFonts w:ascii="Arial" w:hAnsi="Arial" w:cs="Arial"/>
          <w:sz w:val="24"/>
          <w:szCs w:val="40"/>
        </w:rPr>
      </w:pPr>
      <w:r w:rsidRPr="00FD3306">
        <w:rPr>
          <w:rFonts w:ascii="Arial" w:hAnsi="Arial" w:cs="Arial"/>
          <w:sz w:val="24"/>
          <w:szCs w:val="40"/>
          <w:lang w:val="en-US"/>
        </w:rPr>
        <w:t xml:space="preserve">Secondly, other support provided by the Department to the NPO sector is through capacity building programmes to ensure that NPOs comply with applicable legislation for services they provide. The department also assist with strengthening the management and governance of NPOs to improve their performance and impact through the provision of skills development training facilitated by departmental officials and/ or through partnership with </w:t>
      </w:r>
      <w:r w:rsidR="00D060BF" w:rsidRPr="00FD3306">
        <w:rPr>
          <w:rFonts w:ascii="Arial" w:hAnsi="Arial" w:cs="Arial"/>
          <w:sz w:val="24"/>
          <w:szCs w:val="40"/>
          <w:lang w:val="en-US"/>
        </w:rPr>
        <w:t xml:space="preserve">relevant </w:t>
      </w:r>
      <w:r w:rsidRPr="00FD3306">
        <w:rPr>
          <w:rFonts w:ascii="Arial" w:hAnsi="Arial" w:cs="Arial"/>
          <w:sz w:val="24"/>
          <w:szCs w:val="40"/>
          <w:lang w:val="en-US"/>
        </w:rPr>
        <w:t>Stakeholders.</w:t>
      </w:r>
    </w:p>
    <w:p w:rsidR="00E75A51" w:rsidRPr="00FD3306" w:rsidRDefault="00E75A51" w:rsidP="00700A49">
      <w:pPr>
        <w:pStyle w:val="ListParagraph"/>
        <w:ind w:left="0"/>
        <w:rPr>
          <w:rFonts w:ascii="Arial" w:hAnsi="Arial" w:cs="Arial"/>
          <w:sz w:val="24"/>
          <w:szCs w:val="40"/>
          <w:lang w:val="en-US"/>
        </w:rPr>
      </w:pPr>
    </w:p>
    <w:p w:rsidR="005D0910" w:rsidRPr="00FD3306" w:rsidRDefault="005D0910" w:rsidP="00700A49">
      <w:pPr>
        <w:spacing w:after="0" w:line="240" w:lineRule="auto"/>
        <w:jc w:val="both"/>
        <w:rPr>
          <w:rFonts w:ascii="Arial" w:hAnsi="Arial" w:cs="Arial"/>
          <w:sz w:val="24"/>
          <w:szCs w:val="40"/>
        </w:rPr>
      </w:pPr>
      <w:r w:rsidRPr="00FD3306">
        <w:rPr>
          <w:rFonts w:ascii="Arial" w:hAnsi="Arial" w:cs="Arial"/>
          <w:sz w:val="24"/>
          <w:szCs w:val="40"/>
          <w:lang w:val="en-US"/>
        </w:rPr>
        <w:t>Amongst others, the in-house training entails</w:t>
      </w:r>
      <w:r w:rsidR="00E75A51" w:rsidRPr="00FD3306">
        <w:rPr>
          <w:rFonts w:ascii="Arial" w:hAnsi="Arial" w:cs="Arial"/>
          <w:sz w:val="24"/>
          <w:szCs w:val="40"/>
          <w:lang w:val="en-US"/>
        </w:rPr>
        <w:t>-</w:t>
      </w:r>
      <w:r w:rsidRPr="00FD3306">
        <w:rPr>
          <w:rFonts w:ascii="Arial" w:hAnsi="Arial" w:cs="Arial"/>
          <w:sz w:val="24"/>
          <w:szCs w:val="40"/>
          <w:lang w:val="en-US"/>
        </w:rPr>
        <w:t xml:space="preserve"> </w:t>
      </w:r>
    </w:p>
    <w:p w:rsidR="005D0910" w:rsidRPr="00FD3306" w:rsidRDefault="005D0910" w:rsidP="00700A49">
      <w:pPr>
        <w:pStyle w:val="ListParagraph"/>
        <w:numPr>
          <w:ilvl w:val="0"/>
          <w:numId w:val="20"/>
        </w:numPr>
        <w:spacing w:before="100" w:beforeAutospacing="1" w:after="100" w:afterAutospacing="1"/>
        <w:ind w:left="426" w:hanging="426"/>
        <w:jc w:val="both"/>
        <w:rPr>
          <w:rFonts w:ascii="Arial" w:hAnsi="Arial" w:cs="Arial"/>
          <w:color w:val="000000" w:themeColor="text1"/>
          <w:sz w:val="24"/>
          <w:szCs w:val="40"/>
          <w:lang w:val="en-US"/>
        </w:rPr>
      </w:pPr>
      <w:r w:rsidRPr="00FD3306">
        <w:rPr>
          <w:rFonts w:ascii="Arial" w:hAnsi="Arial" w:cs="Arial"/>
          <w:color w:val="000000" w:themeColor="text1"/>
          <w:sz w:val="24"/>
          <w:szCs w:val="40"/>
          <w:lang w:val="en-US"/>
        </w:rPr>
        <w:t>Basic Financial Management and record keeping</w:t>
      </w:r>
    </w:p>
    <w:p w:rsidR="005D0910" w:rsidRPr="00FD3306" w:rsidRDefault="005D0910" w:rsidP="00700A49">
      <w:pPr>
        <w:pStyle w:val="ListParagraph"/>
        <w:numPr>
          <w:ilvl w:val="0"/>
          <w:numId w:val="20"/>
        </w:numPr>
        <w:spacing w:before="100" w:beforeAutospacing="1" w:after="100" w:afterAutospacing="1"/>
        <w:ind w:left="426" w:hanging="426"/>
        <w:jc w:val="both"/>
        <w:rPr>
          <w:rFonts w:ascii="Arial" w:hAnsi="Arial" w:cs="Arial"/>
          <w:color w:val="000000" w:themeColor="text1"/>
          <w:sz w:val="24"/>
          <w:szCs w:val="40"/>
          <w:lang w:val="en-US"/>
        </w:rPr>
      </w:pPr>
      <w:r w:rsidRPr="00FD3306">
        <w:rPr>
          <w:rFonts w:ascii="Arial" w:hAnsi="Arial" w:cs="Arial"/>
          <w:color w:val="000000" w:themeColor="text1"/>
          <w:sz w:val="24"/>
          <w:szCs w:val="40"/>
          <w:lang w:val="en-US"/>
        </w:rPr>
        <w:t>Compliance with the NPO Act, other related legislation and the signed MOA.</w:t>
      </w:r>
    </w:p>
    <w:p w:rsidR="005D0910" w:rsidRPr="00FD3306" w:rsidRDefault="005D0910" w:rsidP="00700A49">
      <w:pPr>
        <w:pStyle w:val="ListParagraph"/>
        <w:numPr>
          <w:ilvl w:val="0"/>
          <w:numId w:val="20"/>
        </w:numPr>
        <w:spacing w:before="100" w:beforeAutospacing="1" w:after="100" w:afterAutospacing="1"/>
        <w:ind w:left="426" w:hanging="426"/>
        <w:jc w:val="both"/>
        <w:rPr>
          <w:rFonts w:ascii="Arial" w:hAnsi="Arial" w:cs="Arial"/>
          <w:color w:val="000000" w:themeColor="text1"/>
          <w:sz w:val="24"/>
          <w:szCs w:val="40"/>
          <w:lang w:val="en-US"/>
        </w:rPr>
      </w:pPr>
      <w:r w:rsidRPr="00FD3306">
        <w:rPr>
          <w:rFonts w:ascii="Arial" w:hAnsi="Arial" w:cs="Arial"/>
          <w:color w:val="000000" w:themeColor="text1"/>
          <w:sz w:val="24"/>
          <w:szCs w:val="40"/>
          <w:lang w:val="en-US"/>
        </w:rPr>
        <w:t>Leadership and Governance</w:t>
      </w:r>
    </w:p>
    <w:p w:rsidR="005D0910" w:rsidRPr="00FD3306" w:rsidRDefault="005D0910" w:rsidP="00700A49">
      <w:pPr>
        <w:pStyle w:val="ListParagraph"/>
        <w:numPr>
          <w:ilvl w:val="0"/>
          <w:numId w:val="20"/>
        </w:numPr>
        <w:spacing w:before="100" w:beforeAutospacing="1" w:after="100" w:afterAutospacing="1"/>
        <w:ind w:left="426" w:hanging="426"/>
        <w:jc w:val="both"/>
        <w:rPr>
          <w:rFonts w:ascii="Arial" w:hAnsi="Arial" w:cs="Arial"/>
          <w:color w:val="000000" w:themeColor="text1"/>
          <w:sz w:val="24"/>
          <w:szCs w:val="40"/>
          <w:lang w:val="en-US"/>
        </w:rPr>
      </w:pPr>
      <w:r w:rsidRPr="00FD3306">
        <w:rPr>
          <w:rFonts w:ascii="Arial" w:hAnsi="Arial" w:cs="Arial"/>
          <w:color w:val="000000" w:themeColor="text1"/>
          <w:sz w:val="24"/>
          <w:szCs w:val="40"/>
          <w:lang w:val="en-US"/>
        </w:rPr>
        <w:lastRenderedPageBreak/>
        <w:t>Resource Mobilization</w:t>
      </w:r>
    </w:p>
    <w:p w:rsidR="00D060BF" w:rsidRPr="00FD3306" w:rsidRDefault="005D0910" w:rsidP="00700A49">
      <w:pPr>
        <w:pStyle w:val="ListParagraph"/>
        <w:numPr>
          <w:ilvl w:val="0"/>
          <w:numId w:val="20"/>
        </w:numPr>
        <w:spacing w:before="100" w:beforeAutospacing="1" w:after="100" w:afterAutospacing="1"/>
        <w:ind w:left="426" w:hanging="426"/>
        <w:jc w:val="both"/>
        <w:rPr>
          <w:rFonts w:ascii="Arial" w:hAnsi="Arial" w:cs="Arial"/>
          <w:color w:val="000000" w:themeColor="text1"/>
          <w:sz w:val="24"/>
          <w:szCs w:val="40"/>
          <w:lang w:val="en-US"/>
        </w:rPr>
      </w:pPr>
      <w:r w:rsidRPr="00FD3306">
        <w:rPr>
          <w:rFonts w:ascii="Arial" w:hAnsi="Arial" w:cs="Arial"/>
          <w:color w:val="000000" w:themeColor="text1"/>
          <w:sz w:val="24"/>
          <w:szCs w:val="40"/>
          <w:lang w:val="en-US"/>
        </w:rPr>
        <w:t>Management and Administration</w:t>
      </w:r>
    </w:p>
    <w:p w:rsidR="005D0910" w:rsidRPr="00FD3306" w:rsidRDefault="005D0910" w:rsidP="00700A49">
      <w:pPr>
        <w:spacing w:before="100" w:beforeAutospacing="1" w:after="100" w:afterAutospacing="1"/>
        <w:jc w:val="both"/>
        <w:rPr>
          <w:rFonts w:ascii="Arial" w:hAnsi="Arial" w:cs="Arial"/>
          <w:color w:val="000000" w:themeColor="text1"/>
          <w:sz w:val="24"/>
          <w:szCs w:val="40"/>
          <w:lang w:val="en-US"/>
        </w:rPr>
      </w:pPr>
      <w:r w:rsidRPr="00FD3306">
        <w:rPr>
          <w:rFonts w:ascii="Arial" w:hAnsi="Arial" w:cs="Arial"/>
          <w:sz w:val="24"/>
          <w:szCs w:val="40"/>
          <w:lang w:val="en-US"/>
        </w:rPr>
        <w:t>The department further collaborates with Stakeholders such as NDA</w:t>
      </w:r>
      <w:r w:rsidR="00D060BF" w:rsidRPr="00FD3306">
        <w:rPr>
          <w:rFonts w:ascii="Arial" w:hAnsi="Arial" w:cs="Arial"/>
          <w:sz w:val="24"/>
          <w:szCs w:val="40"/>
          <w:lang w:val="en-US"/>
        </w:rPr>
        <w:t xml:space="preserve"> (</w:t>
      </w:r>
      <w:r w:rsidR="00BA4247" w:rsidRPr="00FD3306">
        <w:rPr>
          <w:rFonts w:ascii="Arial" w:hAnsi="Arial" w:cs="Arial"/>
          <w:sz w:val="24"/>
          <w:szCs w:val="40"/>
          <w:lang w:val="en-US"/>
        </w:rPr>
        <w:t>National Development Agency</w:t>
      </w:r>
      <w:r w:rsidR="00D060BF" w:rsidRPr="00FD3306">
        <w:rPr>
          <w:rFonts w:ascii="Arial" w:hAnsi="Arial" w:cs="Arial"/>
          <w:sz w:val="24"/>
          <w:szCs w:val="40"/>
          <w:lang w:val="en-US"/>
        </w:rPr>
        <w:t>)</w:t>
      </w:r>
      <w:r w:rsidRPr="00FD3306">
        <w:rPr>
          <w:rFonts w:ascii="Arial" w:hAnsi="Arial" w:cs="Arial"/>
          <w:sz w:val="24"/>
          <w:szCs w:val="40"/>
          <w:lang w:val="en-US"/>
        </w:rPr>
        <w:t>, SARS</w:t>
      </w:r>
      <w:r w:rsidR="00D060BF" w:rsidRPr="00FD3306">
        <w:rPr>
          <w:rFonts w:ascii="Arial" w:hAnsi="Arial" w:cs="Arial"/>
          <w:sz w:val="24"/>
          <w:szCs w:val="40"/>
          <w:lang w:val="en-US"/>
        </w:rPr>
        <w:t xml:space="preserve"> (</w:t>
      </w:r>
      <w:r w:rsidR="00BA4247" w:rsidRPr="00FD3306">
        <w:rPr>
          <w:rFonts w:ascii="Arial" w:hAnsi="Arial" w:cs="Arial"/>
          <w:sz w:val="24"/>
          <w:szCs w:val="40"/>
          <w:lang w:val="en-US"/>
        </w:rPr>
        <w:t>South African Revenue Service</w:t>
      </w:r>
      <w:r w:rsidR="00D060BF" w:rsidRPr="00FD3306">
        <w:rPr>
          <w:rFonts w:ascii="Arial" w:hAnsi="Arial" w:cs="Arial"/>
          <w:sz w:val="24"/>
          <w:szCs w:val="40"/>
          <w:lang w:val="en-US"/>
        </w:rPr>
        <w:t>)</w:t>
      </w:r>
      <w:r w:rsidRPr="00FD3306">
        <w:rPr>
          <w:rFonts w:ascii="Arial" w:hAnsi="Arial" w:cs="Arial"/>
          <w:sz w:val="24"/>
          <w:szCs w:val="40"/>
          <w:lang w:val="en-US"/>
        </w:rPr>
        <w:t>, SEDA</w:t>
      </w:r>
      <w:r w:rsidR="00D060BF" w:rsidRPr="00FD3306">
        <w:rPr>
          <w:rFonts w:ascii="Arial" w:hAnsi="Arial" w:cs="Arial"/>
          <w:sz w:val="24"/>
          <w:szCs w:val="40"/>
          <w:lang w:val="en-US"/>
        </w:rPr>
        <w:t xml:space="preserve"> (</w:t>
      </w:r>
      <w:r w:rsidR="00BA4247" w:rsidRPr="00FD3306">
        <w:rPr>
          <w:rFonts w:ascii="Arial" w:hAnsi="Arial" w:cs="Arial"/>
          <w:sz w:val="24"/>
          <w:szCs w:val="40"/>
          <w:lang w:val="en-US"/>
        </w:rPr>
        <w:t>Small Enterprise Development Agency</w:t>
      </w:r>
      <w:r w:rsidR="00D060BF" w:rsidRPr="00FD3306">
        <w:rPr>
          <w:rFonts w:ascii="Arial" w:hAnsi="Arial" w:cs="Arial"/>
          <w:sz w:val="24"/>
          <w:szCs w:val="40"/>
          <w:lang w:val="en-US"/>
        </w:rPr>
        <w:t>)</w:t>
      </w:r>
      <w:r w:rsidRPr="00FD3306">
        <w:rPr>
          <w:rFonts w:ascii="Arial" w:hAnsi="Arial" w:cs="Arial"/>
          <w:sz w:val="24"/>
          <w:szCs w:val="40"/>
          <w:lang w:val="en-US"/>
        </w:rPr>
        <w:t>, SAIBA</w:t>
      </w:r>
      <w:r w:rsidR="00D060BF" w:rsidRPr="00FD3306">
        <w:rPr>
          <w:rFonts w:ascii="Arial" w:hAnsi="Arial" w:cs="Arial"/>
          <w:sz w:val="24"/>
          <w:szCs w:val="40"/>
          <w:lang w:val="en-US"/>
        </w:rPr>
        <w:t xml:space="preserve"> (</w:t>
      </w:r>
      <w:r w:rsidR="00BA4247" w:rsidRPr="00FD3306">
        <w:rPr>
          <w:rFonts w:ascii="Arial" w:hAnsi="Arial" w:cs="Arial"/>
          <w:sz w:val="24"/>
          <w:szCs w:val="40"/>
          <w:lang w:val="en-US"/>
        </w:rPr>
        <w:t>South African Institution for Business Accountants</w:t>
      </w:r>
      <w:r w:rsidR="00D060BF" w:rsidRPr="00FD3306">
        <w:rPr>
          <w:rFonts w:ascii="Arial" w:hAnsi="Arial" w:cs="Arial"/>
          <w:sz w:val="24"/>
          <w:szCs w:val="40"/>
          <w:lang w:val="en-US"/>
        </w:rPr>
        <w:t>)</w:t>
      </w:r>
      <w:r w:rsidRPr="00FD3306">
        <w:rPr>
          <w:rFonts w:ascii="Arial" w:hAnsi="Arial" w:cs="Arial"/>
          <w:sz w:val="24"/>
          <w:szCs w:val="40"/>
          <w:lang w:val="en-US"/>
        </w:rPr>
        <w:t xml:space="preserve"> and other partners in the Private Sector to provide capacity building training such as:</w:t>
      </w:r>
    </w:p>
    <w:p w:rsidR="005D0910" w:rsidRPr="00FD3306" w:rsidRDefault="005D0910" w:rsidP="00700A49">
      <w:pPr>
        <w:pStyle w:val="ListParagraph"/>
        <w:numPr>
          <w:ilvl w:val="0"/>
          <w:numId w:val="22"/>
        </w:numPr>
        <w:spacing w:before="100" w:beforeAutospacing="1" w:after="100" w:afterAutospacing="1"/>
        <w:ind w:left="426" w:hanging="426"/>
        <w:jc w:val="both"/>
        <w:rPr>
          <w:rFonts w:ascii="Arial" w:hAnsi="Arial" w:cs="Arial"/>
          <w:sz w:val="24"/>
          <w:szCs w:val="40"/>
          <w:lang w:val="en-US"/>
        </w:rPr>
      </w:pPr>
      <w:r w:rsidRPr="00FD3306">
        <w:rPr>
          <w:rFonts w:ascii="Arial" w:hAnsi="Arial" w:cs="Arial"/>
          <w:sz w:val="24"/>
          <w:szCs w:val="40"/>
          <w:lang w:val="en-US"/>
        </w:rPr>
        <w:t xml:space="preserve">Project Management </w:t>
      </w:r>
    </w:p>
    <w:p w:rsidR="005D0910" w:rsidRPr="00FD3306" w:rsidRDefault="005D0910" w:rsidP="00700A49">
      <w:pPr>
        <w:pStyle w:val="ListParagraph"/>
        <w:numPr>
          <w:ilvl w:val="0"/>
          <w:numId w:val="22"/>
        </w:numPr>
        <w:spacing w:before="100" w:beforeAutospacing="1" w:after="100" w:afterAutospacing="1"/>
        <w:ind w:left="851" w:hanging="425"/>
        <w:jc w:val="both"/>
        <w:rPr>
          <w:rFonts w:ascii="Arial" w:hAnsi="Arial" w:cs="Arial"/>
          <w:sz w:val="24"/>
          <w:szCs w:val="40"/>
          <w:lang w:val="en-US"/>
        </w:rPr>
      </w:pPr>
      <w:r w:rsidRPr="00FD3306">
        <w:rPr>
          <w:rFonts w:ascii="Arial" w:hAnsi="Arial" w:cs="Arial"/>
          <w:sz w:val="24"/>
          <w:szCs w:val="40"/>
          <w:lang w:val="en-US"/>
        </w:rPr>
        <w:t xml:space="preserve">Conflict Management </w:t>
      </w:r>
    </w:p>
    <w:p w:rsidR="005D0910" w:rsidRPr="00FD3306" w:rsidRDefault="005D0910" w:rsidP="00700A49">
      <w:pPr>
        <w:pStyle w:val="ListParagraph"/>
        <w:numPr>
          <w:ilvl w:val="0"/>
          <w:numId w:val="22"/>
        </w:numPr>
        <w:spacing w:before="100" w:beforeAutospacing="1" w:after="100" w:afterAutospacing="1"/>
        <w:ind w:left="851" w:hanging="425"/>
        <w:jc w:val="both"/>
        <w:rPr>
          <w:rFonts w:ascii="Arial" w:hAnsi="Arial" w:cs="Arial"/>
          <w:sz w:val="24"/>
          <w:szCs w:val="40"/>
          <w:lang w:val="en-US"/>
        </w:rPr>
      </w:pPr>
      <w:r w:rsidRPr="00FD3306">
        <w:rPr>
          <w:rFonts w:ascii="Arial" w:hAnsi="Arial" w:cs="Arial"/>
          <w:sz w:val="24"/>
          <w:szCs w:val="40"/>
          <w:lang w:val="en-US"/>
        </w:rPr>
        <w:t xml:space="preserve">Financial Literacy </w:t>
      </w:r>
    </w:p>
    <w:p w:rsidR="005D0910" w:rsidRPr="00FD3306" w:rsidRDefault="005D0910" w:rsidP="00700A49">
      <w:pPr>
        <w:pStyle w:val="ListParagraph"/>
        <w:numPr>
          <w:ilvl w:val="0"/>
          <w:numId w:val="22"/>
        </w:numPr>
        <w:spacing w:before="100" w:beforeAutospacing="1" w:after="100" w:afterAutospacing="1"/>
        <w:ind w:left="851" w:hanging="425"/>
        <w:jc w:val="both"/>
        <w:rPr>
          <w:rFonts w:ascii="Arial" w:hAnsi="Arial" w:cs="Arial"/>
          <w:sz w:val="24"/>
          <w:szCs w:val="40"/>
          <w:lang w:val="en-US"/>
        </w:rPr>
      </w:pPr>
      <w:r w:rsidRPr="00FD3306">
        <w:rPr>
          <w:rFonts w:ascii="Arial" w:hAnsi="Arial" w:cs="Arial"/>
          <w:sz w:val="24"/>
          <w:szCs w:val="40"/>
          <w:lang w:val="en-US"/>
        </w:rPr>
        <w:t xml:space="preserve">Tax Compliance / PBO Status </w:t>
      </w:r>
    </w:p>
    <w:p w:rsidR="009B1CB7" w:rsidRPr="00FD3306" w:rsidRDefault="005D0910" w:rsidP="00700A49">
      <w:pPr>
        <w:spacing w:before="100" w:beforeAutospacing="1" w:after="100" w:afterAutospacing="1"/>
        <w:jc w:val="both"/>
        <w:rPr>
          <w:rFonts w:ascii="Arial" w:hAnsi="Arial" w:cs="Arial"/>
          <w:sz w:val="24"/>
          <w:szCs w:val="40"/>
        </w:rPr>
      </w:pPr>
      <w:r w:rsidRPr="00FD3306">
        <w:rPr>
          <w:rFonts w:ascii="Arial" w:hAnsi="Arial" w:cs="Arial"/>
          <w:sz w:val="24"/>
          <w:szCs w:val="40"/>
          <w:lang w:val="en-US"/>
        </w:rPr>
        <w:t xml:space="preserve">The Department also undertakes NPO Outreach Programmes to the far-flung communities to empower and ensure access to NPO services. These include NPO Roadshows and Compliance Drives </w:t>
      </w:r>
      <w:r w:rsidR="00D060BF" w:rsidRPr="00FD3306">
        <w:rPr>
          <w:rFonts w:ascii="Arial" w:hAnsi="Arial" w:cs="Arial"/>
          <w:sz w:val="24"/>
          <w:szCs w:val="40"/>
          <w:lang w:val="en-US"/>
        </w:rPr>
        <w:t xml:space="preserve">e.g. </w:t>
      </w:r>
      <w:r w:rsidRPr="00FD3306">
        <w:rPr>
          <w:rFonts w:ascii="Arial" w:hAnsi="Arial" w:cs="Arial"/>
          <w:sz w:val="24"/>
          <w:szCs w:val="40"/>
          <w:lang w:val="en-US"/>
        </w:rPr>
        <w:t>(Know-Your-NPO-Status).</w:t>
      </w:r>
    </w:p>
    <w:p w:rsidR="00D060BF" w:rsidRPr="00FD3306" w:rsidRDefault="00D060BF" w:rsidP="00CF630D">
      <w:pPr>
        <w:spacing w:after="0" w:line="240" w:lineRule="auto"/>
        <w:jc w:val="both"/>
        <w:rPr>
          <w:rFonts w:ascii="Arial" w:eastAsia="Times New Roman" w:hAnsi="Arial" w:cs="Arial"/>
          <w:b/>
          <w:snapToGrid w:val="0"/>
          <w:color w:val="000000"/>
          <w:sz w:val="24"/>
          <w:szCs w:val="40"/>
        </w:rPr>
      </w:pPr>
      <w:bookmarkStart w:id="1" w:name="_Hlk88819804"/>
    </w:p>
    <w:p w:rsidR="00D060BF" w:rsidRPr="00FD3306" w:rsidRDefault="00D060BF" w:rsidP="00CF630D">
      <w:pPr>
        <w:spacing w:after="0" w:line="240" w:lineRule="auto"/>
        <w:jc w:val="both"/>
        <w:rPr>
          <w:rFonts w:ascii="Arial" w:eastAsia="Times New Roman" w:hAnsi="Arial" w:cs="Arial"/>
          <w:b/>
          <w:snapToGrid w:val="0"/>
          <w:color w:val="000000"/>
          <w:sz w:val="24"/>
          <w:szCs w:val="40"/>
        </w:rPr>
      </w:pPr>
    </w:p>
    <w:p w:rsidR="00D060BF" w:rsidRPr="00FD3306" w:rsidRDefault="00D060BF" w:rsidP="00CF630D">
      <w:pPr>
        <w:spacing w:after="0" w:line="240" w:lineRule="auto"/>
        <w:jc w:val="both"/>
        <w:rPr>
          <w:rFonts w:ascii="Arial" w:eastAsia="Times New Roman" w:hAnsi="Arial" w:cs="Arial"/>
          <w:b/>
          <w:snapToGrid w:val="0"/>
          <w:color w:val="000000"/>
          <w:sz w:val="24"/>
          <w:szCs w:val="40"/>
        </w:rPr>
      </w:pPr>
    </w:p>
    <w:bookmarkEnd w:id="1"/>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5D113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2DD" w:rsidRDefault="00FC52DD">
      <w:pPr>
        <w:spacing w:after="0" w:line="240" w:lineRule="auto"/>
      </w:pPr>
      <w:r>
        <w:separator/>
      </w:r>
    </w:p>
  </w:endnote>
  <w:endnote w:type="continuationSeparator" w:id="0">
    <w:p w:rsidR="00FC52DD" w:rsidRDefault="00FC5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5D113E">
        <w:pPr>
          <w:pStyle w:val="Footer"/>
          <w:jc w:val="right"/>
        </w:pPr>
        <w:r>
          <w:fldChar w:fldCharType="begin"/>
        </w:r>
        <w:r w:rsidR="00DA4793">
          <w:instrText xml:space="preserve"> PAGE   \* MERGEFORMAT </w:instrText>
        </w:r>
        <w:r>
          <w:fldChar w:fldCharType="separate"/>
        </w:r>
        <w:r w:rsidR="00FC52D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2DD" w:rsidRDefault="00FC52DD">
      <w:pPr>
        <w:spacing w:after="0" w:line="240" w:lineRule="auto"/>
      </w:pPr>
      <w:r>
        <w:separator/>
      </w:r>
    </w:p>
  </w:footnote>
  <w:footnote w:type="continuationSeparator" w:id="0">
    <w:p w:rsidR="00FC52DD" w:rsidRDefault="00FC5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531F4"/>
    <w:multiLevelType w:val="hybridMultilevel"/>
    <w:tmpl w:val="393E5CFA"/>
    <w:lvl w:ilvl="0" w:tplc="6BB0C4D6">
      <w:start w:val="1"/>
      <w:numFmt w:val="bullet"/>
      <w:lvlText w:val=""/>
      <w:lvlJc w:val="left"/>
      <w:pPr>
        <w:ind w:left="360" w:hanging="360"/>
      </w:pPr>
      <w:rPr>
        <w:rFonts w:ascii="Wingdings" w:hAnsi="Wingdings" w:hint="default"/>
        <w:color w:val="FF00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F67D4"/>
    <w:multiLevelType w:val="hybridMultilevel"/>
    <w:tmpl w:val="E25A5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707A67"/>
    <w:multiLevelType w:val="hybridMultilevel"/>
    <w:tmpl w:val="295E5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187150"/>
    <w:multiLevelType w:val="hybridMultilevel"/>
    <w:tmpl w:val="B4D83460"/>
    <w:lvl w:ilvl="0" w:tplc="6BB0C4D6">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AFE453E"/>
    <w:multiLevelType w:val="hybridMultilevel"/>
    <w:tmpl w:val="B81ECB52"/>
    <w:lvl w:ilvl="0" w:tplc="2174C8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4">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C953EFD"/>
    <w:multiLevelType w:val="hybridMultilevel"/>
    <w:tmpl w:val="5F8E5938"/>
    <w:lvl w:ilvl="0" w:tplc="04090001">
      <w:start w:val="1"/>
      <w:numFmt w:val="bullet"/>
      <w:lvlText w:val=""/>
      <w:lvlJc w:val="left"/>
      <w:pPr>
        <w:ind w:left="360" w:hanging="360"/>
      </w:pPr>
      <w:rPr>
        <w:rFonts w:ascii="Symbol" w:hAnsi="Symbol" w:hint="default"/>
        <w:color w:val="FF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1"/>
  </w:num>
  <w:num w:numId="4">
    <w:abstractNumId w:val="2"/>
  </w:num>
  <w:num w:numId="5">
    <w:abstractNumId w:val="16"/>
  </w:num>
  <w:num w:numId="6">
    <w:abstractNumId w:val="6"/>
  </w:num>
  <w:num w:numId="7">
    <w:abstractNumId w:val="13"/>
  </w:num>
  <w:num w:numId="8">
    <w:abstractNumId w:val="8"/>
  </w:num>
  <w:num w:numId="9">
    <w:abstractNumId w:val="12"/>
  </w:num>
  <w:num w:numId="10">
    <w:abstractNumId w:val="7"/>
  </w:num>
  <w:num w:numId="11">
    <w:abstractNumId w:val="9"/>
  </w:num>
  <w:num w:numId="12">
    <w:abstractNumId w:val="19"/>
  </w:num>
  <w:num w:numId="13">
    <w:abstractNumId w:val="14"/>
  </w:num>
  <w:num w:numId="14">
    <w:abstractNumId w:val="10"/>
  </w:num>
  <w:num w:numId="15">
    <w:abstractNumId w:val="18"/>
  </w:num>
  <w:num w:numId="16">
    <w:abstractNumId w:val="17"/>
  </w:num>
  <w:num w:numId="17">
    <w:abstractNumId w:val="5"/>
  </w:num>
  <w:num w:numId="18">
    <w:abstractNumId w:val="1"/>
  </w:num>
  <w:num w:numId="19">
    <w:abstractNumId w:val="11"/>
  </w:num>
  <w:num w:numId="20">
    <w:abstractNumId w:val="4"/>
  </w:num>
  <w:num w:numId="21">
    <w:abstractNumId w:val="2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05DF"/>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2DEE"/>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43E4"/>
    <w:rsid w:val="002559B6"/>
    <w:rsid w:val="00262858"/>
    <w:rsid w:val="00264E4F"/>
    <w:rsid w:val="00270B32"/>
    <w:rsid w:val="00270F3D"/>
    <w:rsid w:val="002738BB"/>
    <w:rsid w:val="002810E9"/>
    <w:rsid w:val="00281672"/>
    <w:rsid w:val="002932D5"/>
    <w:rsid w:val="00295367"/>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2EBB"/>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6A17"/>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0910"/>
    <w:rsid w:val="005D113E"/>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22C"/>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700A49"/>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25F3"/>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0526"/>
    <w:rsid w:val="00873A25"/>
    <w:rsid w:val="0087491C"/>
    <w:rsid w:val="0088698A"/>
    <w:rsid w:val="00892AE6"/>
    <w:rsid w:val="008A43F9"/>
    <w:rsid w:val="008A5C17"/>
    <w:rsid w:val="008A5D65"/>
    <w:rsid w:val="008B175E"/>
    <w:rsid w:val="008B3F12"/>
    <w:rsid w:val="008B5901"/>
    <w:rsid w:val="008C1BDF"/>
    <w:rsid w:val="008D3585"/>
    <w:rsid w:val="008D577E"/>
    <w:rsid w:val="008D671E"/>
    <w:rsid w:val="008E0887"/>
    <w:rsid w:val="008E2A22"/>
    <w:rsid w:val="008E3CB8"/>
    <w:rsid w:val="008E4537"/>
    <w:rsid w:val="008E5107"/>
    <w:rsid w:val="008E5698"/>
    <w:rsid w:val="008E6313"/>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4AE"/>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4E37"/>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E09B4"/>
    <w:rsid w:val="00AE14BC"/>
    <w:rsid w:val="00AE3CAA"/>
    <w:rsid w:val="00AF150C"/>
    <w:rsid w:val="00AF5703"/>
    <w:rsid w:val="00AF7818"/>
    <w:rsid w:val="00B02F08"/>
    <w:rsid w:val="00B04D8C"/>
    <w:rsid w:val="00B1408A"/>
    <w:rsid w:val="00B16355"/>
    <w:rsid w:val="00B20FC8"/>
    <w:rsid w:val="00B21BC6"/>
    <w:rsid w:val="00B24D20"/>
    <w:rsid w:val="00B30792"/>
    <w:rsid w:val="00B3376F"/>
    <w:rsid w:val="00B33B99"/>
    <w:rsid w:val="00B40984"/>
    <w:rsid w:val="00B4712D"/>
    <w:rsid w:val="00B52735"/>
    <w:rsid w:val="00B53024"/>
    <w:rsid w:val="00B55A37"/>
    <w:rsid w:val="00B72EAD"/>
    <w:rsid w:val="00B74F1D"/>
    <w:rsid w:val="00B82C53"/>
    <w:rsid w:val="00B90DCE"/>
    <w:rsid w:val="00B95215"/>
    <w:rsid w:val="00BA4247"/>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5F18"/>
    <w:rsid w:val="00CD730F"/>
    <w:rsid w:val="00CE5049"/>
    <w:rsid w:val="00CF0607"/>
    <w:rsid w:val="00CF4CE3"/>
    <w:rsid w:val="00CF630D"/>
    <w:rsid w:val="00D060BF"/>
    <w:rsid w:val="00D065BE"/>
    <w:rsid w:val="00D12A10"/>
    <w:rsid w:val="00D2120F"/>
    <w:rsid w:val="00D27368"/>
    <w:rsid w:val="00D320C6"/>
    <w:rsid w:val="00D33C41"/>
    <w:rsid w:val="00D348FF"/>
    <w:rsid w:val="00D37685"/>
    <w:rsid w:val="00D4048F"/>
    <w:rsid w:val="00D450FC"/>
    <w:rsid w:val="00D51239"/>
    <w:rsid w:val="00D61A84"/>
    <w:rsid w:val="00D67D54"/>
    <w:rsid w:val="00D703A5"/>
    <w:rsid w:val="00D71E36"/>
    <w:rsid w:val="00D80E2E"/>
    <w:rsid w:val="00D83A81"/>
    <w:rsid w:val="00DA1E4E"/>
    <w:rsid w:val="00DA4793"/>
    <w:rsid w:val="00DB32F0"/>
    <w:rsid w:val="00DC028F"/>
    <w:rsid w:val="00DC1E3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5A51"/>
    <w:rsid w:val="00E76629"/>
    <w:rsid w:val="00E82276"/>
    <w:rsid w:val="00E82B0B"/>
    <w:rsid w:val="00E84614"/>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540"/>
    <w:rsid w:val="00F86AA7"/>
    <w:rsid w:val="00F8736C"/>
    <w:rsid w:val="00F913BE"/>
    <w:rsid w:val="00F92F9F"/>
    <w:rsid w:val="00F93622"/>
    <w:rsid w:val="00FB4659"/>
    <w:rsid w:val="00FB557D"/>
    <w:rsid w:val="00FB5F56"/>
    <w:rsid w:val="00FC2C79"/>
    <w:rsid w:val="00FC52DD"/>
    <w:rsid w:val="00FC68FF"/>
    <w:rsid w:val="00FD0D94"/>
    <w:rsid w:val="00FD1C03"/>
    <w:rsid w:val="00FD3306"/>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57F6-4C9E-43E2-AA2E-00A0AB12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2023-03-07T13:23:00Z</cp:lastPrinted>
  <dcterms:created xsi:type="dcterms:W3CDTF">2023-04-03T08:55:00Z</dcterms:created>
  <dcterms:modified xsi:type="dcterms:W3CDTF">2023-04-03T08:55:00Z</dcterms:modified>
</cp:coreProperties>
</file>