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D2427D" w:rsidRDefault="00341461" w:rsidP="00D2427D">
      <w:pPr>
        <w:spacing w:before="100" w:beforeAutospacing="1" w:after="100" w:afterAutospacing="1"/>
        <w:ind w:left="720" w:hanging="720"/>
        <w:jc w:val="center"/>
        <w:outlineLvl w:val="0"/>
        <w:rPr>
          <w:rFonts w:ascii="Calibri" w:hAnsi="Calibri"/>
          <w:b/>
          <w:lang w:val="en-ZA"/>
        </w:rPr>
      </w:pPr>
      <w:bookmarkStart w:id="0" w:name="_GoBack"/>
      <w:bookmarkEnd w:id="0"/>
      <w:r>
        <w:rPr>
          <w:noProof/>
          <w:lang w:val="en-ZA" w:eastAsia="en-ZA"/>
        </w:rPr>
        <w:drawing>
          <wp:inline distT="0" distB="0" distL="0" distR="0">
            <wp:extent cx="952500" cy="97155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E616FC">
        <w:rPr>
          <w:rFonts w:ascii="Arial" w:hAnsi="Arial" w:cs="Arial"/>
          <w:b/>
          <w:bCs/>
          <w:lang w:val="en-GB"/>
        </w:rPr>
        <w:t>2017/</w:t>
      </w:r>
      <w:r w:rsidR="00601328">
        <w:rPr>
          <w:rFonts w:ascii="Arial" w:hAnsi="Arial" w:cs="Arial"/>
          <w:b/>
          <w:bCs/>
          <w:lang w:val="en-GB"/>
        </w:rPr>
        <w:t>5</w:t>
      </w:r>
      <w:r w:rsidR="00E616FC">
        <w:rPr>
          <w:rFonts w:ascii="Arial" w:hAnsi="Arial" w:cs="Arial"/>
          <w:b/>
          <w:bCs/>
          <w:lang w:val="en-GB"/>
        </w:rPr>
        <w:t>2</w:t>
      </w:r>
    </w:p>
    <w:p w:rsidR="00960D5F" w:rsidRDefault="00960D5F" w:rsidP="00960D5F">
      <w:pPr>
        <w:spacing w:line="360" w:lineRule="auto"/>
        <w:ind w:left="720"/>
        <w:jc w:val="center"/>
        <w:rPr>
          <w:rFonts w:ascii="Arial" w:hAnsi="Arial" w:cs="Arial"/>
          <w:b/>
          <w:bCs/>
          <w:lang w:val="en-GB"/>
        </w:rPr>
      </w:pPr>
      <w:r w:rsidRPr="001E3D7C">
        <w:rPr>
          <w:rFonts w:ascii="Arial" w:hAnsi="Arial" w:cs="Arial"/>
          <w:b/>
          <w:bCs/>
          <w:lang w:val="en-GB"/>
        </w:rPr>
        <w:t xml:space="preserve">DATE OF PUBLICATION:  </w:t>
      </w:r>
      <w:r w:rsidR="009F5101">
        <w:rPr>
          <w:rFonts w:ascii="Arial" w:hAnsi="Arial" w:cs="Arial"/>
          <w:b/>
          <w:bCs/>
          <w:lang w:val="en-GB"/>
        </w:rPr>
        <w:t>09 FEBRUARY 2017</w:t>
      </w:r>
    </w:p>
    <w:p w:rsidR="00960D5F" w:rsidRDefault="00960D5F" w:rsidP="00601328">
      <w:pPr>
        <w:spacing w:line="360" w:lineRule="auto"/>
        <w:jc w:val="both"/>
        <w:rPr>
          <w:rFonts w:ascii="Arial" w:hAnsi="Arial" w:cs="Arial"/>
          <w:lang w:val="en-ZA"/>
        </w:rPr>
      </w:pPr>
    </w:p>
    <w:p w:rsidR="00601328" w:rsidRPr="00601328" w:rsidRDefault="00601328" w:rsidP="00F12264">
      <w:pPr>
        <w:spacing w:before="100" w:beforeAutospacing="1" w:after="100" w:afterAutospacing="1"/>
        <w:ind w:left="-11"/>
        <w:jc w:val="both"/>
        <w:outlineLvl w:val="0"/>
        <w:rPr>
          <w:rFonts w:ascii="Arial" w:hAnsi="Arial" w:cs="Arial"/>
          <w:lang w:val="en-GB"/>
        </w:rPr>
      </w:pPr>
      <w:r w:rsidRPr="00601328">
        <w:rPr>
          <w:rFonts w:ascii="Arial" w:hAnsi="Arial" w:cs="Arial"/>
          <w:b/>
          <w:lang w:val="en-GB"/>
        </w:rPr>
        <w:t>52.</w:t>
      </w:r>
      <w:r w:rsidRPr="00601328">
        <w:rPr>
          <w:rFonts w:ascii="Arial" w:hAnsi="Arial" w:cs="Arial"/>
          <w:b/>
          <w:lang w:val="en-GB"/>
        </w:rPr>
        <w:tab/>
        <w:t>Mr A M Figlan (DA) to ask the Minister of Cooperative Governance and Traditional Affairs:</w:t>
      </w:r>
    </w:p>
    <w:p w:rsidR="00601328" w:rsidRPr="00601328" w:rsidRDefault="00601328" w:rsidP="00601328">
      <w:pPr>
        <w:spacing w:before="100" w:beforeAutospacing="1" w:after="100" w:afterAutospacing="1"/>
        <w:ind w:left="1440" w:hanging="720"/>
        <w:jc w:val="both"/>
        <w:outlineLvl w:val="0"/>
        <w:rPr>
          <w:rFonts w:ascii="Arial" w:eastAsia="Calibri" w:hAnsi="Arial" w:cs="Arial"/>
          <w:lang w:val="en-GB"/>
        </w:rPr>
      </w:pPr>
      <w:r w:rsidRPr="00601328">
        <w:rPr>
          <w:rFonts w:ascii="Arial" w:eastAsia="Calibri" w:hAnsi="Arial" w:cs="Arial"/>
          <w:lang w:val="en-GB"/>
        </w:rPr>
        <w:t>(1)</w:t>
      </w:r>
      <w:r w:rsidRPr="00601328">
        <w:rPr>
          <w:rFonts w:ascii="Arial" w:eastAsia="Calibri" w:hAnsi="Arial" w:cs="Arial"/>
          <w:lang w:val="en-GB"/>
        </w:rPr>
        <w:tab/>
        <w:t xml:space="preserve">Whether the Naledi Local Municipality in the North West faces imminent restrictions on the use of electricity as a result of failing to pay its Eskom bills; if not, what is the position in this regard; if so, (a) what are the full reasons for the specified municipality’s </w:t>
      </w:r>
      <w:r w:rsidRPr="00601328">
        <w:rPr>
          <w:rFonts w:ascii="Arial" w:eastAsia="Calibri" w:hAnsi="Arial" w:cs="Arial"/>
          <w:noProof/>
          <w:lang w:val="en-GB"/>
        </w:rPr>
        <w:t>failure</w:t>
      </w:r>
      <w:r w:rsidRPr="00601328">
        <w:rPr>
          <w:rFonts w:ascii="Arial" w:eastAsia="Calibri" w:hAnsi="Arial" w:cs="Arial"/>
          <w:lang w:val="en-GB"/>
        </w:rPr>
        <w:t xml:space="preserve"> to meet its financial obligations to Eskom, (b) by what date </w:t>
      </w:r>
      <w:r w:rsidRPr="00601328">
        <w:rPr>
          <w:rFonts w:ascii="Arial" w:hAnsi="Arial" w:cs="Arial"/>
          <w:lang w:val="en-GB"/>
        </w:rPr>
        <w:t>will</w:t>
      </w:r>
      <w:r w:rsidRPr="00601328">
        <w:rPr>
          <w:rFonts w:ascii="Arial" w:eastAsia="Calibri" w:hAnsi="Arial" w:cs="Arial"/>
          <w:lang w:val="en-GB"/>
        </w:rPr>
        <w:t xml:space="preserve"> it settle its debt and (c) what steps are being taken to ameliorate the impact of the restrictions and resolve the problem;</w:t>
      </w:r>
    </w:p>
    <w:p w:rsidR="00601328" w:rsidRPr="00601328" w:rsidRDefault="00601328" w:rsidP="00601328">
      <w:pPr>
        <w:spacing w:before="100" w:beforeAutospacing="1" w:after="100" w:afterAutospacing="1"/>
        <w:ind w:left="1440" w:hanging="720"/>
        <w:jc w:val="both"/>
        <w:outlineLvl w:val="0"/>
        <w:rPr>
          <w:rFonts w:ascii="Arial" w:eastAsia="Calibri" w:hAnsi="Arial" w:cs="Arial"/>
          <w:lang w:val="en-GB"/>
        </w:rPr>
      </w:pPr>
      <w:r w:rsidRPr="00601328">
        <w:rPr>
          <w:rFonts w:ascii="Arial" w:eastAsia="Calibri" w:hAnsi="Arial" w:cs="Arial"/>
          <w:lang w:val="en-GB"/>
        </w:rPr>
        <w:t>(2)</w:t>
      </w:r>
      <w:r w:rsidRPr="00601328">
        <w:rPr>
          <w:rFonts w:ascii="Arial" w:eastAsia="Calibri" w:hAnsi="Arial" w:cs="Arial"/>
          <w:lang w:val="en-GB"/>
        </w:rPr>
        <w:tab/>
        <w:t xml:space="preserve">whether all revenue generated by the so-called smart-meter system in the municipality is </w:t>
      </w:r>
      <w:r w:rsidRPr="00601328">
        <w:rPr>
          <w:rFonts w:ascii="Arial" w:hAnsi="Arial" w:cs="Arial"/>
          <w:lang w:val="en-GB"/>
        </w:rPr>
        <w:t>utilised</w:t>
      </w:r>
      <w:r w:rsidRPr="00601328">
        <w:rPr>
          <w:rFonts w:ascii="Arial" w:eastAsia="Calibri" w:hAnsi="Arial" w:cs="Arial"/>
          <w:lang w:val="en-GB"/>
        </w:rPr>
        <w:t xml:space="preserve"> to settle its bulk electricity costs; if not, (a) why not and (b) what are the specified funds being used for; if so, what are the full relevant details of all (i) income generated and (ii) payments made for bulk electricity costs since 1 June 2016;</w:t>
      </w:r>
    </w:p>
    <w:p w:rsidR="00601328" w:rsidRPr="00601328" w:rsidRDefault="00601328" w:rsidP="00601328">
      <w:pPr>
        <w:spacing w:before="100" w:beforeAutospacing="1" w:after="100" w:afterAutospacing="1"/>
        <w:ind w:left="1440" w:hanging="720"/>
        <w:jc w:val="both"/>
        <w:outlineLvl w:val="0"/>
        <w:rPr>
          <w:rFonts w:ascii="Arial" w:eastAsia="Calibri" w:hAnsi="Arial" w:cs="Arial"/>
          <w:lang w:val="en-GB"/>
        </w:rPr>
      </w:pPr>
      <w:r w:rsidRPr="00601328">
        <w:rPr>
          <w:rFonts w:ascii="Arial" w:eastAsia="Calibri" w:hAnsi="Arial" w:cs="Arial"/>
          <w:lang w:val="en-GB"/>
        </w:rPr>
        <w:t>(3)</w:t>
      </w:r>
      <w:r w:rsidRPr="00601328">
        <w:rPr>
          <w:rFonts w:ascii="Arial" w:eastAsia="Calibri" w:hAnsi="Arial" w:cs="Arial"/>
          <w:lang w:val="en-GB"/>
        </w:rPr>
        <w:tab/>
        <w:t xml:space="preserve">whether his department has taken any steps to ensure that the situation between the municipality and Eskom are normalised in the long term; if not, why not; if so, what are the </w:t>
      </w:r>
      <w:r w:rsidRPr="00601328">
        <w:rPr>
          <w:rFonts w:ascii="Arial" w:hAnsi="Arial" w:cs="Arial"/>
          <w:lang w:val="en-GB"/>
        </w:rPr>
        <w:t>relevant</w:t>
      </w:r>
      <w:r w:rsidRPr="00601328">
        <w:rPr>
          <w:rFonts w:ascii="Arial" w:eastAsia="Calibri" w:hAnsi="Arial" w:cs="Arial"/>
          <w:lang w:val="en-GB"/>
        </w:rPr>
        <w:t xml:space="preserve"> details of each intervention implemented to date;</w:t>
      </w:r>
    </w:p>
    <w:p w:rsidR="00601328" w:rsidRPr="00601328" w:rsidRDefault="00601328" w:rsidP="00601328">
      <w:pPr>
        <w:spacing w:before="100" w:beforeAutospacing="1" w:after="100" w:afterAutospacing="1"/>
        <w:ind w:left="1440" w:hanging="720"/>
        <w:jc w:val="both"/>
        <w:outlineLvl w:val="0"/>
        <w:rPr>
          <w:rFonts w:ascii="Arial" w:hAnsi="Arial" w:cs="Arial"/>
          <w:color w:val="000000"/>
          <w:lang w:val="en-GB"/>
        </w:rPr>
      </w:pPr>
      <w:r w:rsidRPr="00601328">
        <w:rPr>
          <w:rFonts w:ascii="Arial" w:eastAsia="Calibri" w:hAnsi="Arial" w:cs="Arial"/>
          <w:lang w:val="en-GB"/>
        </w:rPr>
        <w:t>(4)</w:t>
      </w:r>
      <w:r w:rsidRPr="00601328">
        <w:rPr>
          <w:rFonts w:ascii="Arial" w:eastAsia="Calibri" w:hAnsi="Arial" w:cs="Arial"/>
          <w:lang w:val="en-GB"/>
        </w:rPr>
        <w:tab/>
      </w:r>
      <w:r w:rsidRPr="00601328">
        <w:rPr>
          <w:rFonts w:ascii="Arial" w:eastAsia="Calibri" w:hAnsi="Arial" w:cs="Arial"/>
          <w:color w:val="000000"/>
          <w:lang w:val="en-GB"/>
        </w:rPr>
        <w:t xml:space="preserve">whether any steps have been taken to negotiate with Eskom to address municipalities’ </w:t>
      </w:r>
      <w:r w:rsidRPr="00601328">
        <w:rPr>
          <w:rFonts w:ascii="Arial" w:hAnsi="Arial" w:cs="Arial"/>
          <w:color w:val="000000"/>
          <w:lang w:val="en-GB"/>
        </w:rPr>
        <w:t>concerns</w:t>
      </w:r>
      <w:r w:rsidRPr="00601328">
        <w:rPr>
          <w:rFonts w:ascii="Arial" w:eastAsia="Calibri" w:hAnsi="Arial" w:cs="Arial"/>
          <w:color w:val="000000"/>
          <w:lang w:val="en-GB"/>
        </w:rPr>
        <w:t xml:space="preserve"> </w:t>
      </w:r>
      <w:r w:rsidRPr="00601328">
        <w:rPr>
          <w:rFonts w:ascii="Arial" w:eastAsia="Calibri" w:hAnsi="Arial" w:cs="Arial"/>
          <w:noProof/>
          <w:color w:val="000000"/>
          <w:lang w:val="en-GB"/>
        </w:rPr>
        <w:t>around</w:t>
      </w:r>
      <w:r w:rsidRPr="00601328">
        <w:rPr>
          <w:rFonts w:ascii="Arial" w:eastAsia="Calibri" w:hAnsi="Arial" w:cs="Arial"/>
          <w:color w:val="000000"/>
          <w:lang w:val="en-GB"/>
        </w:rPr>
        <w:t xml:space="preserve"> the (a) interest rate charged and (b) 15-day billing cycle used by Eskom; if not, in each case, why not; if so, what are the relevant details in each case</w:t>
      </w:r>
      <w:r w:rsidRPr="00601328">
        <w:rPr>
          <w:rFonts w:ascii="Arial" w:hAnsi="Arial" w:cs="Arial"/>
          <w:color w:val="000000"/>
          <w:lang w:val="en-GB"/>
        </w:rPr>
        <w:t>?</w:t>
      </w:r>
      <w:r w:rsidRPr="00601328">
        <w:rPr>
          <w:rFonts w:ascii="Arial" w:hAnsi="Arial" w:cs="Arial"/>
          <w:color w:val="000000"/>
          <w:lang w:val="en-GB"/>
        </w:rPr>
        <w:tab/>
        <w:t>NW56E</w:t>
      </w:r>
    </w:p>
    <w:p w:rsidR="00960D5F" w:rsidRPr="001E3D7C" w:rsidRDefault="00960D5F" w:rsidP="00960D5F">
      <w:pPr>
        <w:spacing w:line="360" w:lineRule="auto"/>
        <w:ind w:left="142"/>
        <w:jc w:val="both"/>
        <w:rPr>
          <w:rFonts w:ascii="Arial" w:hAnsi="Arial" w:cs="Arial"/>
          <w:lang w:val="en-ZA"/>
        </w:rPr>
      </w:pPr>
    </w:p>
    <w:p w:rsidR="00601328" w:rsidRDefault="00601328" w:rsidP="00960D5F">
      <w:pPr>
        <w:spacing w:line="360" w:lineRule="auto"/>
        <w:ind w:left="90" w:hanging="52"/>
        <w:jc w:val="both"/>
        <w:rPr>
          <w:rFonts w:ascii="Arial" w:hAnsi="Arial" w:cs="Arial"/>
          <w:b/>
          <w:lang w:val="en-ZA"/>
        </w:rPr>
      </w:pPr>
    </w:p>
    <w:p w:rsidR="00601328" w:rsidRDefault="00601328" w:rsidP="00960D5F">
      <w:pPr>
        <w:spacing w:line="360" w:lineRule="auto"/>
        <w:ind w:left="90" w:hanging="52"/>
        <w:jc w:val="both"/>
        <w:rPr>
          <w:rFonts w:ascii="Arial" w:hAnsi="Arial" w:cs="Arial"/>
          <w:b/>
          <w:lang w:val="en-ZA"/>
        </w:rPr>
      </w:pPr>
    </w:p>
    <w:p w:rsidR="00601328" w:rsidRDefault="00601328" w:rsidP="00960D5F">
      <w:pPr>
        <w:spacing w:line="360" w:lineRule="auto"/>
        <w:ind w:left="90" w:hanging="52"/>
        <w:jc w:val="both"/>
        <w:rPr>
          <w:rFonts w:ascii="Arial" w:hAnsi="Arial" w:cs="Arial"/>
          <w:b/>
          <w:lang w:val="en-ZA"/>
        </w:rPr>
      </w:pPr>
    </w:p>
    <w:p w:rsidR="00601328" w:rsidRDefault="00601328" w:rsidP="00960D5F">
      <w:pPr>
        <w:spacing w:line="360" w:lineRule="auto"/>
        <w:ind w:left="90" w:hanging="52"/>
        <w:jc w:val="both"/>
        <w:rPr>
          <w:rFonts w:ascii="Arial" w:hAnsi="Arial" w:cs="Arial"/>
          <w:b/>
          <w:lang w:val="en-ZA"/>
        </w:rPr>
      </w:pPr>
    </w:p>
    <w:p w:rsidR="00960D5F" w:rsidRPr="002569E7" w:rsidRDefault="00960D5F" w:rsidP="002569E7">
      <w:pPr>
        <w:spacing w:line="360" w:lineRule="auto"/>
        <w:ind w:left="90" w:hanging="52"/>
        <w:jc w:val="both"/>
        <w:rPr>
          <w:rFonts w:ascii="Arial" w:hAnsi="Arial" w:cs="Arial"/>
          <w:b/>
          <w:lang w:val="en-ZA"/>
        </w:rPr>
      </w:pPr>
      <w:r w:rsidRPr="002569E7">
        <w:rPr>
          <w:rFonts w:ascii="Arial" w:hAnsi="Arial" w:cs="Arial"/>
          <w:b/>
          <w:lang w:val="en-ZA"/>
        </w:rPr>
        <w:lastRenderedPageBreak/>
        <w:t>REPLY</w:t>
      </w:r>
      <w:r w:rsidR="002569E7" w:rsidRPr="002569E7">
        <w:rPr>
          <w:rFonts w:ascii="Arial" w:hAnsi="Arial" w:cs="Arial"/>
          <w:b/>
          <w:lang w:val="en-ZA"/>
        </w:rPr>
        <w:t>:</w:t>
      </w:r>
    </w:p>
    <w:p w:rsidR="002569E7" w:rsidRDefault="002569E7" w:rsidP="00CA60E0">
      <w:pPr>
        <w:pStyle w:val="ListParagraph"/>
        <w:numPr>
          <w:ilvl w:val="0"/>
          <w:numId w:val="17"/>
        </w:numPr>
        <w:spacing w:before="100" w:beforeAutospacing="1" w:after="100" w:afterAutospacing="1"/>
        <w:contextualSpacing/>
        <w:jc w:val="both"/>
        <w:outlineLvl w:val="0"/>
        <w:rPr>
          <w:rFonts w:ascii="Arial" w:hAnsi="Arial" w:cs="Arial"/>
        </w:rPr>
      </w:pPr>
      <w:r w:rsidRPr="002569E7">
        <w:rPr>
          <w:rFonts w:ascii="Arial" w:hAnsi="Arial" w:cs="Arial"/>
        </w:rPr>
        <w:t>Yes.</w:t>
      </w:r>
    </w:p>
    <w:p w:rsidR="00CA60E0" w:rsidRPr="00CA60E0" w:rsidRDefault="00CA60E0" w:rsidP="00CA60E0">
      <w:pPr>
        <w:pStyle w:val="ListParagraph"/>
        <w:spacing w:before="100" w:beforeAutospacing="1" w:after="100" w:afterAutospacing="1"/>
        <w:ind w:left="990"/>
        <w:contextualSpacing/>
        <w:jc w:val="both"/>
        <w:outlineLvl w:val="0"/>
        <w:rPr>
          <w:rFonts w:ascii="Arial" w:hAnsi="Arial" w:cs="Arial"/>
        </w:rPr>
      </w:pPr>
    </w:p>
    <w:p w:rsidR="002569E7" w:rsidRPr="002569E7" w:rsidRDefault="002569E7" w:rsidP="00CA60E0">
      <w:pPr>
        <w:pStyle w:val="ListParagraph"/>
        <w:numPr>
          <w:ilvl w:val="0"/>
          <w:numId w:val="18"/>
        </w:numPr>
        <w:spacing w:line="276" w:lineRule="auto"/>
        <w:ind w:hanging="270"/>
        <w:contextualSpacing/>
        <w:jc w:val="both"/>
        <w:rPr>
          <w:rFonts w:ascii="Arial" w:hAnsi="Arial" w:cs="Arial"/>
        </w:rPr>
      </w:pPr>
      <w:r w:rsidRPr="002569E7">
        <w:rPr>
          <w:rFonts w:ascii="Arial" w:hAnsi="Arial" w:cs="Arial"/>
        </w:rPr>
        <w:t xml:space="preserve">The municipality has been struggling to make monthly payments to ESKOM.    </w:t>
      </w:r>
    </w:p>
    <w:p w:rsidR="002569E7" w:rsidRPr="002569E7" w:rsidRDefault="002569E7" w:rsidP="00CA60E0">
      <w:pPr>
        <w:pStyle w:val="ListParagraph"/>
        <w:spacing w:line="276" w:lineRule="auto"/>
        <w:ind w:left="1260"/>
        <w:jc w:val="both"/>
        <w:rPr>
          <w:rFonts w:ascii="Arial" w:hAnsi="Arial" w:cs="Arial"/>
        </w:rPr>
      </w:pPr>
      <w:r w:rsidRPr="002569E7">
        <w:rPr>
          <w:rFonts w:ascii="Arial" w:hAnsi="Arial" w:cs="Arial"/>
        </w:rPr>
        <w:t xml:space="preserve">   Numerous payment arrangements were made but the municipality did not   </w:t>
      </w:r>
    </w:p>
    <w:p w:rsidR="002569E7" w:rsidRPr="002569E7" w:rsidRDefault="002569E7" w:rsidP="00CA60E0">
      <w:pPr>
        <w:pStyle w:val="ListParagraph"/>
        <w:spacing w:line="276" w:lineRule="auto"/>
        <w:jc w:val="both"/>
        <w:rPr>
          <w:rFonts w:ascii="Arial" w:hAnsi="Arial" w:cs="Arial"/>
        </w:rPr>
      </w:pPr>
      <w:r w:rsidRPr="002569E7">
        <w:rPr>
          <w:rFonts w:ascii="Arial" w:hAnsi="Arial" w:cs="Arial"/>
        </w:rPr>
        <w:t xml:space="preserve">           honour them as it is facing cash flow challenges.  As a result, the municipality    </w:t>
      </w:r>
    </w:p>
    <w:p w:rsidR="002569E7" w:rsidRPr="002569E7" w:rsidRDefault="002569E7" w:rsidP="00CA60E0">
      <w:pPr>
        <w:pStyle w:val="ListParagraph"/>
        <w:spacing w:line="276" w:lineRule="auto"/>
        <w:jc w:val="both"/>
        <w:rPr>
          <w:rFonts w:ascii="Arial" w:hAnsi="Arial" w:cs="Arial"/>
        </w:rPr>
      </w:pPr>
      <w:r w:rsidRPr="002569E7">
        <w:rPr>
          <w:rFonts w:ascii="Arial" w:hAnsi="Arial" w:cs="Arial"/>
        </w:rPr>
        <w:t xml:space="preserve">           made two payments towards ESKOM electricity account.  </w:t>
      </w:r>
    </w:p>
    <w:p w:rsidR="002569E7" w:rsidRPr="002569E7" w:rsidRDefault="002569E7" w:rsidP="00CA60E0">
      <w:pPr>
        <w:ind w:left="990"/>
        <w:jc w:val="both"/>
        <w:rPr>
          <w:rFonts w:ascii="Arial" w:hAnsi="Arial" w:cs="Arial"/>
        </w:rPr>
      </w:pPr>
    </w:p>
    <w:p w:rsidR="002569E7" w:rsidRPr="002569E7" w:rsidRDefault="002569E7" w:rsidP="00CA60E0">
      <w:pPr>
        <w:ind w:left="1260"/>
        <w:jc w:val="both"/>
        <w:rPr>
          <w:rFonts w:ascii="Arial" w:hAnsi="Arial" w:cs="Arial"/>
        </w:rPr>
      </w:pPr>
      <w:r w:rsidRPr="002569E7">
        <w:rPr>
          <w:rFonts w:ascii="Arial" w:hAnsi="Arial" w:cs="Arial"/>
        </w:rPr>
        <w:t>On 28 July 2016 an amount of R10 290 026.61 was paid and on 31 January 2017 an amount of R25 500 000.00 was also paid into the ESKOM electricity count.  To date, a total amount of R35 790 026.61 million has been paid to ESKOM to service outstanding debt.</w:t>
      </w:r>
    </w:p>
    <w:p w:rsidR="002569E7" w:rsidRPr="002569E7" w:rsidRDefault="002569E7" w:rsidP="00CA60E0">
      <w:pPr>
        <w:jc w:val="both"/>
        <w:rPr>
          <w:rFonts w:ascii="Arial" w:hAnsi="Arial" w:cs="Arial"/>
        </w:rPr>
      </w:pPr>
    </w:p>
    <w:p w:rsidR="002569E7" w:rsidRPr="002569E7" w:rsidRDefault="002569E7" w:rsidP="00CA60E0">
      <w:pPr>
        <w:numPr>
          <w:ilvl w:val="0"/>
          <w:numId w:val="18"/>
        </w:numPr>
        <w:jc w:val="both"/>
        <w:rPr>
          <w:rFonts w:ascii="Arial" w:hAnsi="Arial" w:cs="Arial"/>
        </w:rPr>
      </w:pPr>
      <w:r w:rsidRPr="002569E7">
        <w:rPr>
          <w:rFonts w:ascii="Arial" w:hAnsi="Arial" w:cs="Arial"/>
        </w:rPr>
        <w:t>The Naledi Local municipality has entered into a payment agreement with ESKOM and the total outstanding amount of R215 845 376.54 will be paid over a period of four (4) years.</w:t>
      </w:r>
    </w:p>
    <w:p w:rsidR="002569E7" w:rsidRPr="002569E7" w:rsidRDefault="002569E7" w:rsidP="00CA60E0">
      <w:pPr>
        <w:jc w:val="both"/>
        <w:rPr>
          <w:rFonts w:ascii="Arial" w:hAnsi="Arial" w:cs="Arial"/>
        </w:rPr>
      </w:pPr>
    </w:p>
    <w:p w:rsidR="002569E7" w:rsidRPr="002569E7" w:rsidRDefault="002569E7" w:rsidP="00CA60E0">
      <w:pPr>
        <w:numPr>
          <w:ilvl w:val="0"/>
          <w:numId w:val="18"/>
        </w:numPr>
        <w:jc w:val="both"/>
        <w:rPr>
          <w:rFonts w:ascii="Arial" w:hAnsi="Arial" w:cs="Arial"/>
        </w:rPr>
      </w:pPr>
      <w:r w:rsidRPr="002569E7">
        <w:rPr>
          <w:rFonts w:ascii="Arial" w:hAnsi="Arial" w:cs="Arial"/>
        </w:rPr>
        <w:t>The municipality has drafted a financial turnaround strategy and the cash flow situation is expected to improve in the next three (3) to five (5) years.  The debt collection strategy is being implemented and the faulty electrical meters have been replaced.</w:t>
      </w:r>
    </w:p>
    <w:p w:rsidR="002569E7" w:rsidRPr="002569E7" w:rsidRDefault="002569E7" w:rsidP="00CA60E0">
      <w:pPr>
        <w:pStyle w:val="ListParagraph"/>
        <w:jc w:val="both"/>
        <w:rPr>
          <w:rFonts w:ascii="Arial" w:hAnsi="Arial" w:cs="Arial"/>
        </w:rPr>
      </w:pPr>
    </w:p>
    <w:p w:rsidR="002569E7" w:rsidRPr="002569E7" w:rsidRDefault="002569E7" w:rsidP="00CA60E0">
      <w:pPr>
        <w:numPr>
          <w:ilvl w:val="0"/>
          <w:numId w:val="17"/>
        </w:numPr>
        <w:jc w:val="both"/>
        <w:rPr>
          <w:rFonts w:ascii="Arial" w:hAnsi="Arial" w:cs="Arial"/>
        </w:rPr>
      </w:pPr>
      <w:r w:rsidRPr="002569E7">
        <w:rPr>
          <w:rFonts w:ascii="Arial" w:hAnsi="Arial" w:cs="Arial"/>
        </w:rPr>
        <w:t xml:space="preserve">    No.  Not all revenue generated from the sales of pre-paid electricity has been           </w:t>
      </w:r>
    </w:p>
    <w:p w:rsidR="002569E7" w:rsidRPr="002569E7" w:rsidRDefault="002569E7" w:rsidP="00CA60E0">
      <w:pPr>
        <w:ind w:left="990"/>
        <w:jc w:val="both"/>
        <w:rPr>
          <w:rFonts w:ascii="Arial" w:hAnsi="Arial" w:cs="Arial"/>
        </w:rPr>
      </w:pPr>
      <w:r w:rsidRPr="002569E7">
        <w:rPr>
          <w:rFonts w:ascii="Arial" w:hAnsi="Arial" w:cs="Arial"/>
        </w:rPr>
        <w:t xml:space="preserve">     used to settle the bulk electricity costs.</w:t>
      </w:r>
    </w:p>
    <w:p w:rsidR="002569E7" w:rsidRPr="002569E7" w:rsidRDefault="002569E7" w:rsidP="00CA60E0">
      <w:pPr>
        <w:ind w:left="990"/>
        <w:jc w:val="both"/>
        <w:rPr>
          <w:rFonts w:ascii="Arial" w:hAnsi="Arial" w:cs="Arial"/>
        </w:rPr>
      </w:pPr>
    </w:p>
    <w:p w:rsidR="002569E7" w:rsidRPr="002569E7" w:rsidRDefault="002569E7" w:rsidP="00CA60E0">
      <w:pPr>
        <w:numPr>
          <w:ilvl w:val="0"/>
          <w:numId w:val="19"/>
        </w:numPr>
        <w:jc w:val="both"/>
        <w:rPr>
          <w:rFonts w:ascii="Arial" w:hAnsi="Arial" w:cs="Arial"/>
        </w:rPr>
      </w:pPr>
      <w:r w:rsidRPr="002569E7">
        <w:rPr>
          <w:rFonts w:ascii="Arial" w:hAnsi="Arial" w:cs="Arial"/>
        </w:rPr>
        <w:t xml:space="preserve">The municipality is struggling to collect revenue from the sale of other services (i.e. refuse, water, sanitation and property rates).  </w:t>
      </w:r>
    </w:p>
    <w:p w:rsidR="002569E7" w:rsidRPr="002569E7" w:rsidRDefault="002569E7" w:rsidP="00CA60E0">
      <w:pPr>
        <w:ind w:left="990"/>
        <w:jc w:val="both"/>
        <w:rPr>
          <w:rFonts w:ascii="Arial" w:hAnsi="Arial" w:cs="Arial"/>
        </w:rPr>
      </w:pPr>
    </w:p>
    <w:p w:rsidR="002569E7" w:rsidRDefault="002569E7" w:rsidP="00CA60E0">
      <w:pPr>
        <w:numPr>
          <w:ilvl w:val="0"/>
          <w:numId w:val="19"/>
        </w:numPr>
        <w:jc w:val="both"/>
        <w:rPr>
          <w:rFonts w:ascii="Arial" w:hAnsi="Arial" w:cs="Arial"/>
        </w:rPr>
      </w:pPr>
      <w:r w:rsidRPr="002569E7">
        <w:rPr>
          <w:rFonts w:ascii="Arial" w:hAnsi="Arial" w:cs="Arial"/>
        </w:rPr>
        <w:t>Money collected from pre-paid electricity was used to cross-subsidize other municipal services and day-to-day operations.</w:t>
      </w:r>
    </w:p>
    <w:p w:rsidR="002569E7" w:rsidRDefault="002569E7" w:rsidP="00CA60E0">
      <w:pPr>
        <w:jc w:val="both"/>
      </w:pPr>
    </w:p>
    <w:p w:rsidR="002569E7" w:rsidRDefault="002569E7" w:rsidP="00CA60E0">
      <w:pPr>
        <w:numPr>
          <w:ilvl w:val="0"/>
          <w:numId w:val="21"/>
        </w:numPr>
        <w:jc w:val="both"/>
        <w:rPr>
          <w:rFonts w:ascii="Arial" w:hAnsi="Arial" w:cs="Arial"/>
        </w:rPr>
      </w:pPr>
      <w:r w:rsidRPr="002569E7">
        <w:rPr>
          <w:rFonts w:ascii="Arial" w:hAnsi="Arial" w:cs="Arial"/>
        </w:rPr>
        <w:t>the table below indicates the total income generated from the smart meters</w:t>
      </w:r>
      <w:r>
        <w:rPr>
          <w:rFonts w:ascii="Arial" w:hAnsi="Arial" w:cs="Arial"/>
        </w:rPr>
        <w:t>.</w:t>
      </w:r>
      <w:r w:rsidRPr="002569E7">
        <w:rPr>
          <w:rFonts w:ascii="Arial" w:hAnsi="Arial" w:cs="Arial"/>
        </w:rPr>
        <w:t xml:space="preserve"> </w:t>
      </w:r>
    </w:p>
    <w:p w:rsidR="002569E7" w:rsidRDefault="002569E7" w:rsidP="002569E7">
      <w:pPr>
        <w:ind w:left="1710"/>
        <w:rPr>
          <w:rFonts w:ascii="Arial" w:hAnsi="Arial" w:cs="Arial"/>
        </w:rPr>
      </w:pPr>
    </w:p>
    <w:p w:rsidR="002569E7" w:rsidRDefault="00341461" w:rsidP="002569E7">
      <w:pPr>
        <w:ind w:left="990"/>
        <w:rPr>
          <w:noProof/>
        </w:rPr>
      </w:pPr>
      <w:r>
        <w:rPr>
          <w:noProof/>
          <w:lang w:val="en-ZA" w:eastAsia="en-ZA"/>
        </w:rPr>
        <w:drawing>
          <wp:inline distT="0" distB="0" distL="0" distR="0">
            <wp:extent cx="6076950"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581275"/>
                    </a:xfrm>
                    <a:prstGeom prst="rect">
                      <a:avLst/>
                    </a:prstGeom>
                    <a:noFill/>
                    <a:ln>
                      <a:noFill/>
                    </a:ln>
                  </pic:spPr>
                </pic:pic>
              </a:graphicData>
            </a:graphic>
          </wp:inline>
        </w:drawing>
      </w:r>
    </w:p>
    <w:p w:rsidR="00CA60E0" w:rsidRDefault="00CA60E0" w:rsidP="002569E7">
      <w:pPr>
        <w:ind w:left="990"/>
        <w:rPr>
          <w:noProof/>
        </w:rPr>
      </w:pPr>
    </w:p>
    <w:tbl>
      <w:tblPr>
        <w:tblpPr w:leftFromText="180" w:rightFromText="180" w:vertAnchor="page" w:horzAnchor="margin" w:tblpXSpec="center" w:tblpY="1021"/>
        <w:tblW w:w="11196" w:type="dxa"/>
        <w:tblLayout w:type="fixed"/>
        <w:tblLook w:val="04A0" w:firstRow="1" w:lastRow="0" w:firstColumn="1" w:lastColumn="0" w:noHBand="0" w:noVBand="1"/>
      </w:tblPr>
      <w:tblGrid>
        <w:gridCol w:w="1276"/>
        <w:gridCol w:w="1725"/>
        <w:gridCol w:w="1660"/>
        <w:gridCol w:w="1449"/>
        <w:gridCol w:w="1463"/>
        <w:gridCol w:w="1428"/>
        <w:gridCol w:w="2195"/>
      </w:tblGrid>
      <w:tr w:rsidR="00F42D93" w:rsidTr="00F42D93">
        <w:trPr>
          <w:trHeight w:val="294"/>
        </w:trPr>
        <w:tc>
          <w:tcPr>
            <w:tcW w:w="1276" w:type="dxa"/>
            <w:tcBorders>
              <w:top w:val="single" w:sz="4" w:space="0" w:color="BCBCBC"/>
              <w:left w:val="nil"/>
              <w:bottom w:val="nil"/>
              <w:right w:val="single" w:sz="4" w:space="0" w:color="BCBCBC"/>
            </w:tcBorders>
            <w:shd w:val="clear" w:color="auto" w:fill="C2D5E0"/>
            <w:noWrap/>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lastRenderedPageBreak/>
              <w:t>Detail</w:t>
            </w:r>
          </w:p>
        </w:tc>
        <w:tc>
          <w:tcPr>
            <w:tcW w:w="1725" w:type="dxa"/>
            <w:tcBorders>
              <w:top w:val="single" w:sz="4" w:space="0" w:color="BCBCBC"/>
              <w:left w:val="nil"/>
              <w:bottom w:val="single" w:sz="4" w:space="0" w:color="BCBCBC"/>
              <w:right w:val="single" w:sz="4" w:space="0" w:color="BCBCBC"/>
            </w:tcBorders>
            <w:shd w:val="clear" w:color="auto" w:fill="C2D5E0"/>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t>Opening / closing balance and other movements</w:t>
            </w:r>
          </w:p>
        </w:tc>
        <w:tc>
          <w:tcPr>
            <w:tcW w:w="1660" w:type="dxa"/>
            <w:tcBorders>
              <w:top w:val="single" w:sz="4" w:space="0" w:color="BCBCBC"/>
              <w:left w:val="nil"/>
              <w:bottom w:val="single" w:sz="4" w:space="0" w:color="BCBCBC"/>
              <w:right w:val="single" w:sz="4" w:space="0" w:color="BCBCBC"/>
            </w:tcBorders>
            <w:shd w:val="clear" w:color="auto" w:fill="C2D5E0"/>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t>Expenditure incurred</w:t>
            </w:r>
          </w:p>
        </w:tc>
        <w:tc>
          <w:tcPr>
            <w:tcW w:w="1449" w:type="dxa"/>
            <w:tcBorders>
              <w:top w:val="single" w:sz="4" w:space="0" w:color="BCBCBC"/>
              <w:left w:val="nil"/>
              <w:bottom w:val="single" w:sz="4" w:space="0" w:color="BCBCBC"/>
              <w:right w:val="single" w:sz="4" w:space="0" w:color="BCBCBC"/>
            </w:tcBorders>
            <w:shd w:val="clear" w:color="auto" w:fill="C2D5E0"/>
            <w:noWrap/>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t>VAT</w:t>
            </w:r>
          </w:p>
        </w:tc>
        <w:tc>
          <w:tcPr>
            <w:tcW w:w="1463" w:type="dxa"/>
            <w:tcBorders>
              <w:top w:val="single" w:sz="4" w:space="0" w:color="BCBCBC"/>
              <w:left w:val="nil"/>
              <w:bottom w:val="single" w:sz="4" w:space="0" w:color="BCBCBC"/>
              <w:right w:val="single" w:sz="4" w:space="0" w:color="BCBCBC"/>
            </w:tcBorders>
            <w:shd w:val="clear" w:color="auto" w:fill="C2D5E0"/>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t>Interest on overdue account</w:t>
            </w:r>
          </w:p>
        </w:tc>
        <w:tc>
          <w:tcPr>
            <w:tcW w:w="1428" w:type="dxa"/>
            <w:tcBorders>
              <w:top w:val="single" w:sz="4" w:space="0" w:color="BCBCBC"/>
              <w:left w:val="nil"/>
              <w:bottom w:val="single" w:sz="4" w:space="0" w:color="BCBCBC"/>
              <w:right w:val="single" w:sz="4" w:space="0" w:color="BCBCBC"/>
            </w:tcBorders>
            <w:shd w:val="clear" w:color="auto" w:fill="C2D5E0"/>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t>Payments made</w:t>
            </w:r>
          </w:p>
        </w:tc>
        <w:tc>
          <w:tcPr>
            <w:tcW w:w="2195" w:type="dxa"/>
            <w:tcBorders>
              <w:top w:val="single" w:sz="4" w:space="0" w:color="BCBCBC"/>
              <w:left w:val="nil"/>
              <w:bottom w:val="single" w:sz="4" w:space="0" w:color="BCBCBC"/>
              <w:right w:val="single" w:sz="4" w:space="0" w:color="BCBCBC"/>
            </w:tcBorders>
            <w:shd w:val="clear" w:color="auto" w:fill="C2D5E0"/>
            <w:vAlign w:val="center"/>
            <w:hideMark/>
          </w:tcPr>
          <w:p w:rsidR="00F42D93" w:rsidRPr="00CA60E0" w:rsidRDefault="00F42D93" w:rsidP="00F42D93">
            <w:pPr>
              <w:jc w:val="center"/>
              <w:rPr>
                <w:rFonts w:ascii="Arial" w:hAnsi="Arial" w:cs="Arial"/>
                <w:b/>
                <w:bCs/>
                <w:sz w:val="16"/>
                <w:szCs w:val="16"/>
                <w:lang w:eastAsia="en-ZA"/>
              </w:rPr>
            </w:pPr>
            <w:r w:rsidRPr="00CA60E0">
              <w:rPr>
                <w:rFonts w:ascii="Arial" w:hAnsi="Arial" w:cs="Arial"/>
                <w:b/>
                <w:bCs/>
                <w:sz w:val="16"/>
                <w:szCs w:val="16"/>
                <w:lang w:eastAsia="en-ZA"/>
              </w:rPr>
              <w:t>Closing Balance</w:t>
            </w:r>
          </w:p>
        </w:tc>
      </w:tr>
      <w:tr w:rsidR="00F42D93" w:rsidTr="00F42D93">
        <w:trPr>
          <w:trHeight w:val="294"/>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Opening balance as on 1 July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175 977 953,47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175 977 953,47 </w:t>
            </w:r>
          </w:p>
        </w:tc>
      </w:tr>
      <w:tr w:rsidR="00F42D93" w:rsidTr="00F42D93">
        <w:trPr>
          <w:trHeight w:val="366"/>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July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175 977 953,47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8 930 384,12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1 250 253,78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2 053 567,38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(10 290 026,61)</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177 922 132,14 </w:t>
            </w:r>
          </w:p>
        </w:tc>
      </w:tr>
      <w:tr w:rsidR="00F42D93" w:rsidTr="00F42D93">
        <w:trPr>
          <w:trHeight w:val="551"/>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August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177 922 132,14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8 845 901,78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1 238 426,25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2 391 814,42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190 398 274,59 </w:t>
            </w:r>
          </w:p>
        </w:tc>
      </w:tr>
      <w:tr w:rsidR="00F42D93" w:rsidTr="00F42D93">
        <w:trPr>
          <w:trHeight w:val="734"/>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September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190 398 274,59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5 386 705,88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754 138,83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2 399 131,41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198 938 250,71 </w:t>
            </w:r>
          </w:p>
        </w:tc>
      </w:tr>
      <w:tr w:rsidR="00F42D93" w:rsidTr="00F42D93">
        <w:trPr>
          <w:trHeight w:val="376"/>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October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198 938 250,71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5 022 234,73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703 112,87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2 769 727,86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207 433 326,17 </w:t>
            </w:r>
          </w:p>
        </w:tc>
      </w:tr>
      <w:tr w:rsidR="00F42D93" w:rsidTr="00F42D93">
        <w:trPr>
          <w:trHeight w:val="366"/>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November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207 433 326,17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5 616 217,03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786 270,39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2 448 430,04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216 284 243,63 </w:t>
            </w:r>
          </w:p>
        </w:tc>
      </w:tr>
      <w:tr w:rsidR="00F42D93" w:rsidTr="00F42D93">
        <w:trPr>
          <w:trHeight w:val="325"/>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December 2016</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216 284 243,63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5 229 458,92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732 124,25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2 736 608,96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   </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224 982 435,76 </w:t>
            </w:r>
          </w:p>
        </w:tc>
      </w:tr>
      <w:tr w:rsidR="00F42D93" w:rsidTr="00F42D93">
        <w:trPr>
          <w:trHeight w:val="368"/>
        </w:trPr>
        <w:tc>
          <w:tcPr>
            <w:tcW w:w="1276" w:type="dxa"/>
            <w:tcBorders>
              <w:top w:val="single" w:sz="4" w:space="0" w:color="BCBCBC"/>
              <w:left w:val="nil"/>
              <w:bottom w:val="single" w:sz="4" w:space="0" w:color="BCBCBC"/>
              <w:right w:val="single" w:sz="4" w:space="0" w:color="BCBCBC"/>
            </w:tcBorders>
            <w:shd w:val="clear" w:color="auto" w:fill="FFFFFF"/>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Consumption for January 2017</w:t>
            </w:r>
          </w:p>
        </w:tc>
        <w:tc>
          <w:tcPr>
            <w:tcW w:w="172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224 982 435,76 </w:t>
            </w:r>
          </w:p>
        </w:tc>
        <w:tc>
          <w:tcPr>
            <w:tcW w:w="1660"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4 924 194,91 </w:t>
            </w:r>
          </w:p>
        </w:tc>
        <w:tc>
          <w:tcPr>
            <w:tcW w:w="1449"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689 387,29 </w:t>
            </w:r>
          </w:p>
        </w:tc>
        <w:tc>
          <w:tcPr>
            <w:tcW w:w="1463"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2 986 881,09 </w:t>
            </w:r>
          </w:p>
        </w:tc>
        <w:tc>
          <w:tcPr>
            <w:tcW w:w="1428"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(25 500 000,00)</w:t>
            </w:r>
          </w:p>
        </w:tc>
        <w:tc>
          <w:tcPr>
            <w:tcW w:w="2195" w:type="dxa"/>
            <w:tcBorders>
              <w:top w:val="nil"/>
              <w:left w:val="nil"/>
              <w:bottom w:val="single" w:sz="4" w:space="0" w:color="BCBCBC"/>
              <w:right w:val="single" w:sz="4" w:space="0" w:color="BCBCBC"/>
            </w:tcBorders>
            <w:shd w:val="clear" w:color="auto" w:fill="FFFFCC"/>
            <w:vAlign w:val="center"/>
            <w:hideMark/>
          </w:tcPr>
          <w:p w:rsidR="00F42D93" w:rsidRPr="00CA60E0" w:rsidRDefault="00F42D93" w:rsidP="00F42D93">
            <w:pPr>
              <w:rPr>
                <w:rFonts w:ascii="Arial" w:hAnsi="Arial" w:cs="Arial"/>
                <w:sz w:val="16"/>
                <w:szCs w:val="16"/>
                <w:lang w:eastAsia="en-ZA"/>
              </w:rPr>
            </w:pPr>
            <w:r w:rsidRPr="00CA60E0">
              <w:rPr>
                <w:rFonts w:ascii="Arial" w:hAnsi="Arial" w:cs="Arial"/>
                <w:sz w:val="16"/>
                <w:szCs w:val="16"/>
                <w:lang w:eastAsia="en-ZA"/>
              </w:rPr>
              <w:t xml:space="preserve">    208 082 899,05 </w:t>
            </w:r>
          </w:p>
        </w:tc>
      </w:tr>
    </w:tbl>
    <w:p w:rsidR="00CA60E0" w:rsidRDefault="00CA60E0" w:rsidP="00CA60E0">
      <w:pPr>
        <w:numPr>
          <w:ilvl w:val="0"/>
          <w:numId w:val="21"/>
        </w:numPr>
        <w:rPr>
          <w:rFonts w:ascii="Arial" w:hAnsi="Arial" w:cs="Arial"/>
        </w:rPr>
      </w:pPr>
      <w:r w:rsidRPr="00CA60E0">
        <w:rPr>
          <w:rFonts w:ascii="Arial" w:hAnsi="Arial" w:cs="Arial"/>
          <w:noProof/>
        </w:rPr>
        <w:t>payments made for bulk electricity costs since june 2016.</w:t>
      </w:r>
    </w:p>
    <w:p w:rsidR="00697647" w:rsidRDefault="00697647" w:rsidP="00CA60E0">
      <w:pPr>
        <w:pStyle w:val="ListParagraph"/>
        <w:spacing w:before="100" w:beforeAutospacing="1" w:after="100" w:afterAutospacing="1"/>
        <w:ind w:left="0"/>
        <w:outlineLvl w:val="0"/>
        <w:rPr>
          <w:rFonts w:ascii="Arial" w:hAnsi="Arial" w:cs="Arial"/>
        </w:rPr>
      </w:pPr>
    </w:p>
    <w:p w:rsidR="002569E7" w:rsidRPr="002569E7" w:rsidRDefault="002569E7" w:rsidP="002569E7">
      <w:pPr>
        <w:pStyle w:val="ListParagraph"/>
        <w:spacing w:before="100" w:beforeAutospacing="1" w:after="100" w:afterAutospacing="1"/>
        <w:outlineLvl w:val="0"/>
        <w:rPr>
          <w:rFonts w:ascii="Arial" w:hAnsi="Arial" w:cs="Arial"/>
        </w:rPr>
      </w:pPr>
      <w:r w:rsidRPr="002569E7">
        <w:rPr>
          <w:rFonts w:ascii="Arial" w:hAnsi="Arial" w:cs="Arial"/>
        </w:rPr>
        <w:t xml:space="preserve">(3)Yes. </w:t>
      </w:r>
    </w:p>
    <w:p w:rsidR="002569E7" w:rsidRPr="002569E7" w:rsidRDefault="002569E7" w:rsidP="002569E7">
      <w:pPr>
        <w:pStyle w:val="ListParagraph"/>
        <w:spacing w:before="100" w:beforeAutospacing="1" w:after="100" w:afterAutospacing="1"/>
        <w:outlineLvl w:val="0"/>
        <w:rPr>
          <w:rFonts w:ascii="Arial" w:hAnsi="Arial" w:cs="Arial"/>
        </w:rPr>
      </w:pPr>
      <w:r w:rsidRPr="002569E7">
        <w:rPr>
          <w:rFonts w:ascii="Arial" w:hAnsi="Arial" w:cs="Arial"/>
        </w:rPr>
        <w:t>On 12 January 2017, there was an engagement between the Minister and the Premier of the North West Province to discuss the challenges facing the municipalities, in particular, their failure to pay the ESKOM electricity accounts.</w:t>
      </w:r>
    </w:p>
    <w:p w:rsidR="002569E7" w:rsidRPr="002569E7" w:rsidRDefault="002569E7" w:rsidP="002569E7">
      <w:pPr>
        <w:pStyle w:val="ListParagraph"/>
        <w:spacing w:before="100" w:beforeAutospacing="1" w:after="100" w:afterAutospacing="1"/>
        <w:outlineLvl w:val="0"/>
        <w:rPr>
          <w:rFonts w:ascii="Arial" w:hAnsi="Arial" w:cs="Arial"/>
        </w:rPr>
      </w:pPr>
      <w:r w:rsidRPr="002569E7">
        <w:rPr>
          <w:rFonts w:ascii="Arial" w:hAnsi="Arial" w:cs="Arial"/>
        </w:rPr>
        <w:t>A Task Team was established to support the municipality and address all revenue related challenges faced by the municipality.  Among other matters attended to by the Task Team, were the following:</w:t>
      </w:r>
    </w:p>
    <w:p w:rsidR="002569E7" w:rsidRPr="002569E7" w:rsidRDefault="002569E7" w:rsidP="002569E7">
      <w:pPr>
        <w:pStyle w:val="ListParagraph"/>
        <w:numPr>
          <w:ilvl w:val="0"/>
          <w:numId w:val="16"/>
        </w:numPr>
        <w:spacing w:before="100" w:beforeAutospacing="1" w:after="100" w:afterAutospacing="1"/>
        <w:contextualSpacing/>
        <w:outlineLvl w:val="0"/>
        <w:rPr>
          <w:rFonts w:ascii="Arial" w:hAnsi="Arial" w:cs="Arial"/>
        </w:rPr>
      </w:pPr>
      <w:r w:rsidRPr="002569E7">
        <w:rPr>
          <w:rFonts w:ascii="Arial" w:hAnsi="Arial" w:cs="Arial"/>
        </w:rPr>
        <w:t>the municipality was assisted to negotiate a new payment agreement with ESKOM;</w:t>
      </w:r>
    </w:p>
    <w:p w:rsidR="002569E7" w:rsidRPr="002569E7" w:rsidRDefault="002569E7" w:rsidP="002569E7">
      <w:pPr>
        <w:pStyle w:val="ListParagraph"/>
        <w:numPr>
          <w:ilvl w:val="0"/>
          <w:numId w:val="16"/>
        </w:numPr>
        <w:spacing w:before="100" w:beforeAutospacing="1" w:after="100" w:afterAutospacing="1"/>
        <w:contextualSpacing/>
        <w:outlineLvl w:val="0"/>
        <w:rPr>
          <w:rFonts w:ascii="Arial" w:hAnsi="Arial" w:cs="Arial"/>
        </w:rPr>
      </w:pPr>
      <w:r w:rsidRPr="002569E7">
        <w:rPr>
          <w:rFonts w:ascii="Arial" w:hAnsi="Arial" w:cs="Arial"/>
        </w:rPr>
        <w:t>Government departments that owe the municipality were engaged and requested to settle their outstanding debt</w:t>
      </w:r>
    </w:p>
    <w:p w:rsidR="002569E7" w:rsidRPr="002569E7" w:rsidRDefault="002569E7" w:rsidP="002569E7">
      <w:pPr>
        <w:pStyle w:val="ListParagraph"/>
        <w:spacing w:before="100" w:beforeAutospacing="1" w:after="100" w:afterAutospacing="1"/>
        <w:outlineLvl w:val="0"/>
        <w:rPr>
          <w:rFonts w:ascii="Arial" w:hAnsi="Arial" w:cs="Arial"/>
        </w:rPr>
      </w:pPr>
    </w:p>
    <w:p w:rsidR="00697647" w:rsidRDefault="002569E7" w:rsidP="002569E7">
      <w:pPr>
        <w:pStyle w:val="ListParagraph"/>
        <w:spacing w:before="100" w:beforeAutospacing="1" w:after="100" w:afterAutospacing="1"/>
        <w:outlineLvl w:val="0"/>
        <w:rPr>
          <w:rFonts w:ascii="Arial" w:hAnsi="Arial" w:cs="Arial"/>
        </w:rPr>
      </w:pPr>
      <w:r w:rsidRPr="002569E7">
        <w:rPr>
          <w:rFonts w:ascii="Arial" w:hAnsi="Arial" w:cs="Arial"/>
        </w:rPr>
        <w:t xml:space="preserve">(4)Yes. </w:t>
      </w:r>
    </w:p>
    <w:p w:rsidR="002569E7" w:rsidRPr="002569E7" w:rsidRDefault="00697647" w:rsidP="002569E7">
      <w:pPr>
        <w:pStyle w:val="ListParagraph"/>
        <w:spacing w:before="100" w:beforeAutospacing="1" w:after="100" w:afterAutospacing="1"/>
        <w:outlineLvl w:val="0"/>
        <w:rPr>
          <w:rFonts w:ascii="Arial" w:hAnsi="Arial" w:cs="Arial"/>
        </w:rPr>
      </w:pPr>
      <w:r>
        <w:rPr>
          <w:rFonts w:ascii="Arial" w:hAnsi="Arial" w:cs="Arial"/>
        </w:rPr>
        <w:t>T</w:t>
      </w:r>
      <w:r w:rsidR="002569E7" w:rsidRPr="002569E7">
        <w:rPr>
          <w:rFonts w:ascii="Arial" w:hAnsi="Arial" w:cs="Arial"/>
        </w:rPr>
        <w:t>he engagements with ESKOM are continuing.  ESKOM has to finalize and make an announcement on the suspension of interest charged as well as the 15-day billing cycle.</w:t>
      </w:r>
    </w:p>
    <w:p w:rsidR="002569E7" w:rsidRPr="002569E7" w:rsidRDefault="002569E7" w:rsidP="002569E7">
      <w:pPr>
        <w:ind w:left="1350"/>
        <w:jc w:val="both"/>
        <w:rPr>
          <w:rFonts w:ascii="Arial" w:hAnsi="Arial" w:cs="Arial"/>
        </w:rPr>
      </w:pPr>
    </w:p>
    <w:p w:rsidR="00183876" w:rsidRPr="002569E7" w:rsidRDefault="00183876" w:rsidP="00183876">
      <w:pPr>
        <w:spacing w:before="100" w:beforeAutospacing="1" w:after="100" w:afterAutospacing="1"/>
        <w:jc w:val="both"/>
        <w:rPr>
          <w:rFonts w:ascii="Arial" w:hAnsi="Arial" w:cs="Arial"/>
          <w:lang w:val="en-ZA"/>
        </w:rPr>
      </w:pPr>
    </w:p>
    <w:sectPr w:rsidR="00183876" w:rsidRPr="002569E7"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D4" w:rsidRDefault="00F211D4">
      <w:r>
        <w:separator/>
      </w:r>
    </w:p>
  </w:endnote>
  <w:endnote w:type="continuationSeparator" w:id="0">
    <w:p w:rsidR="00F211D4" w:rsidRDefault="00F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D4" w:rsidRDefault="00F211D4">
      <w:r>
        <w:separator/>
      </w:r>
    </w:p>
  </w:footnote>
  <w:footnote w:type="continuationSeparator" w:id="0">
    <w:p w:rsidR="00F211D4" w:rsidRDefault="00F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2D4"/>
    <w:multiLevelType w:val="hybridMultilevel"/>
    <w:tmpl w:val="985456F0"/>
    <w:lvl w:ilvl="0" w:tplc="354C2C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303180"/>
    <w:multiLevelType w:val="hybridMultilevel"/>
    <w:tmpl w:val="EB78E12C"/>
    <w:lvl w:ilvl="0" w:tplc="302EC80C">
      <w:start w:val="9"/>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0EF41C8"/>
    <w:multiLevelType w:val="hybridMultilevel"/>
    <w:tmpl w:val="D3089BBE"/>
    <w:lvl w:ilvl="0" w:tplc="C046E5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507799C"/>
    <w:multiLevelType w:val="hybridMultilevel"/>
    <w:tmpl w:val="1BF4D112"/>
    <w:lvl w:ilvl="0" w:tplc="185275FE">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3">
    <w:nsid w:val="3A1E5C24"/>
    <w:multiLevelType w:val="hybridMultilevel"/>
    <w:tmpl w:val="1410F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209157E"/>
    <w:multiLevelType w:val="hybridMultilevel"/>
    <w:tmpl w:val="45229B7A"/>
    <w:lvl w:ilvl="0" w:tplc="3126DBBC">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D2A13"/>
    <w:multiLevelType w:val="hybridMultilevel"/>
    <w:tmpl w:val="E4CA9BC6"/>
    <w:lvl w:ilvl="0" w:tplc="049897C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DC608A"/>
    <w:multiLevelType w:val="hybridMultilevel"/>
    <w:tmpl w:val="952A131E"/>
    <w:lvl w:ilvl="0" w:tplc="6D90C4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1E079C6"/>
    <w:multiLevelType w:val="hybridMultilevel"/>
    <w:tmpl w:val="259E891E"/>
    <w:lvl w:ilvl="0" w:tplc="401CBD7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6"/>
  </w:num>
  <w:num w:numId="3">
    <w:abstractNumId w:val="14"/>
  </w:num>
  <w:num w:numId="4">
    <w:abstractNumId w:val="11"/>
  </w:num>
  <w:num w:numId="5">
    <w:abstractNumId w:val="10"/>
  </w:num>
  <w:num w:numId="6">
    <w:abstractNumId w:val="18"/>
  </w:num>
  <w:num w:numId="7">
    <w:abstractNumId w:val="4"/>
  </w:num>
  <w:num w:numId="8">
    <w:abstractNumId w:val="3"/>
  </w:num>
  <w:num w:numId="9">
    <w:abstractNumId w:val="16"/>
  </w:num>
  <w:num w:numId="10">
    <w:abstractNumId w:val="9"/>
  </w:num>
  <w:num w:numId="11">
    <w:abstractNumId w:val="5"/>
  </w:num>
  <w:num w:numId="12">
    <w:abstractNumId w:val="0"/>
  </w:num>
  <w:num w:numId="13">
    <w:abstractNumId w:val="12"/>
  </w:num>
  <w:num w:numId="14">
    <w:abstractNumId w:val="8"/>
  </w:num>
  <w:num w:numId="15">
    <w:abstractNumId w:val="1"/>
  </w:num>
  <w:num w:numId="16">
    <w:abstractNumId w:val="13"/>
  </w:num>
  <w:num w:numId="17">
    <w:abstractNumId w:val="17"/>
  </w:num>
  <w:num w:numId="18">
    <w:abstractNumId w:val="19"/>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14B05"/>
    <w:rsid w:val="00017071"/>
    <w:rsid w:val="00020887"/>
    <w:rsid w:val="000266F7"/>
    <w:rsid w:val="00053DD6"/>
    <w:rsid w:val="00067602"/>
    <w:rsid w:val="00071841"/>
    <w:rsid w:val="000923B2"/>
    <w:rsid w:val="000954AC"/>
    <w:rsid w:val="000C4DD3"/>
    <w:rsid w:val="000D2C53"/>
    <w:rsid w:val="000D4613"/>
    <w:rsid w:val="000D4AA5"/>
    <w:rsid w:val="001003CB"/>
    <w:rsid w:val="001314FC"/>
    <w:rsid w:val="00147245"/>
    <w:rsid w:val="00156E9A"/>
    <w:rsid w:val="00171B43"/>
    <w:rsid w:val="00173C60"/>
    <w:rsid w:val="00181508"/>
    <w:rsid w:val="00183876"/>
    <w:rsid w:val="001B0C9C"/>
    <w:rsid w:val="001D6ADE"/>
    <w:rsid w:val="001E69BF"/>
    <w:rsid w:val="001E719B"/>
    <w:rsid w:val="0021288B"/>
    <w:rsid w:val="002416D5"/>
    <w:rsid w:val="00247292"/>
    <w:rsid w:val="002569E7"/>
    <w:rsid w:val="002576DD"/>
    <w:rsid w:val="002816D5"/>
    <w:rsid w:val="002949F2"/>
    <w:rsid w:val="002A645A"/>
    <w:rsid w:val="002B2990"/>
    <w:rsid w:val="002C4244"/>
    <w:rsid w:val="002C5792"/>
    <w:rsid w:val="002D6EFA"/>
    <w:rsid w:val="002F42F4"/>
    <w:rsid w:val="0031080D"/>
    <w:rsid w:val="00314E06"/>
    <w:rsid w:val="0031617F"/>
    <w:rsid w:val="0032240B"/>
    <w:rsid w:val="00322981"/>
    <w:rsid w:val="00323310"/>
    <w:rsid w:val="00332C27"/>
    <w:rsid w:val="00341461"/>
    <w:rsid w:val="00357A0E"/>
    <w:rsid w:val="00357BF2"/>
    <w:rsid w:val="00382DA0"/>
    <w:rsid w:val="003907A9"/>
    <w:rsid w:val="003A0DE9"/>
    <w:rsid w:val="003D4D79"/>
    <w:rsid w:val="00411A52"/>
    <w:rsid w:val="004325C6"/>
    <w:rsid w:val="004779EE"/>
    <w:rsid w:val="00495467"/>
    <w:rsid w:val="0049779D"/>
    <w:rsid w:val="004A4C5A"/>
    <w:rsid w:val="004B2C14"/>
    <w:rsid w:val="004B309A"/>
    <w:rsid w:val="004B4AB0"/>
    <w:rsid w:val="004B5A08"/>
    <w:rsid w:val="004C109A"/>
    <w:rsid w:val="004D2ABF"/>
    <w:rsid w:val="0050428A"/>
    <w:rsid w:val="00511169"/>
    <w:rsid w:val="005229E8"/>
    <w:rsid w:val="0053047F"/>
    <w:rsid w:val="00537AA9"/>
    <w:rsid w:val="00542AD1"/>
    <w:rsid w:val="0054419A"/>
    <w:rsid w:val="005806D7"/>
    <w:rsid w:val="005A0136"/>
    <w:rsid w:val="005D0762"/>
    <w:rsid w:val="005D0D35"/>
    <w:rsid w:val="005F13AA"/>
    <w:rsid w:val="005F5EB3"/>
    <w:rsid w:val="005F60DB"/>
    <w:rsid w:val="00601328"/>
    <w:rsid w:val="0061676A"/>
    <w:rsid w:val="00647ED0"/>
    <w:rsid w:val="0066291D"/>
    <w:rsid w:val="0067399D"/>
    <w:rsid w:val="00697647"/>
    <w:rsid w:val="006B06EF"/>
    <w:rsid w:val="006D3C21"/>
    <w:rsid w:val="006D5BC7"/>
    <w:rsid w:val="006E1BD3"/>
    <w:rsid w:val="00700225"/>
    <w:rsid w:val="00724A26"/>
    <w:rsid w:val="007261E1"/>
    <w:rsid w:val="00765941"/>
    <w:rsid w:val="007670C4"/>
    <w:rsid w:val="00791C24"/>
    <w:rsid w:val="007B5563"/>
    <w:rsid w:val="007C74AB"/>
    <w:rsid w:val="007D22C5"/>
    <w:rsid w:val="007D4F67"/>
    <w:rsid w:val="007D6AEE"/>
    <w:rsid w:val="007F55E8"/>
    <w:rsid w:val="00801607"/>
    <w:rsid w:val="00803A7E"/>
    <w:rsid w:val="008275AD"/>
    <w:rsid w:val="00843814"/>
    <w:rsid w:val="008714B4"/>
    <w:rsid w:val="00875980"/>
    <w:rsid w:val="00886B24"/>
    <w:rsid w:val="008A1477"/>
    <w:rsid w:val="008C3B42"/>
    <w:rsid w:val="008D003B"/>
    <w:rsid w:val="008D5EBF"/>
    <w:rsid w:val="008F6740"/>
    <w:rsid w:val="00906EB4"/>
    <w:rsid w:val="00935A33"/>
    <w:rsid w:val="00954992"/>
    <w:rsid w:val="00955D50"/>
    <w:rsid w:val="00960D5F"/>
    <w:rsid w:val="00965EF5"/>
    <w:rsid w:val="00966064"/>
    <w:rsid w:val="00977C5F"/>
    <w:rsid w:val="00991283"/>
    <w:rsid w:val="009B3ADB"/>
    <w:rsid w:val="009C2F40"/>
    <w:rsid w:val="009F5101"/>
    <w:rsid w:val="00A02D47"/>
    <w:rsid w:val="00A03A37"/>
    <w:rsid w:val="00A167C8"/>
    <w:rsid w:val="00A35576"/>
    <w:rsid w:val="00A47B22"/>
    <w:rsid w:val="00A71D7F"/>
    <w:rsid w:val="00A96621"/>
    <w:rsid w:val="00A96E8D"/>
    <w:rsid w:val="00AA02D6"/>
    <w:rsid w:val="00AD2E06"/>
    <w:rsid w:val="00AD717A"/>
    <w:rsid w:val="00AD75F9"/>
    <w:rsid w:val="00B05E06"/>
    <w:rsid w:val="00B125C0"/>
    <w:rsid w:val="00B246CC"/>
    <w:rsid w:val="00B549CD"/>
    <w:rsid w:val="00B6542A"/>
    <w:rsid w:val="00BC70D5"/>
    <w:rsid w:val="00BC7A56"/>
    <w:rsid w:val="00C11E38"/>
    <w:rsid w:val="00C14BFE"/>
    <w:rsid w:val="00C225E3"/>
    <w:rsid w:val="00C33C12"/>
    <w:rsid w:val="00C563C3"/>
    <w:rsid w:val="00CA60E0"/>
    <w:rsid w:val="00CB3451"/>
    <w:rsid w:val="00CC6934"/>
    <w:rsid w:val="00CD0F5A"/>
    <w:rsid w:val="00CD5FF0"/>
    <w:rsid w:val="00CD652C"/>
    <w:rsid w:val="00CE1F98"/>
    <w:rsid w:val="00CE31A5"/>
    <w:rsid w:val="00D06842"/>
    <w:rsid w:val="00D06D3F"/>
    <w:rsid w:val="00D2427D"/>
    <w:rsid w:val="00D319E8"/>
    <w:rsid w:val="00D339A2"/>
    <w:rsid w:val="00D342CF"/>
    <w:rsid w:val="00D4293B"/>
    <w:rsid w:val="00D43C90"/>
    <w:rsid w:val="00D5130B"/>
    <w:rsid w:val="00D61D77"/>
    <w:rsid w:val="00D748C7"/>
    <w:rsid w:val="00D803C9"/>
    <w:rsid w:val="00D80A85"/>
    <w:rsid w:val="00D9186C"/>
    <w:rsid w:val="00DA17B5"/>
    <w:rsid w:val="00DA4A8C"/>
    <w:rsid w:val="00DB6375"/>
    <w:rsid w:val="00DC609A"/>
    <w:rsid w:val="00DD0EA8"/>
    <w:rsid w:val="00DD560B"/>
    <w:rsid w:val="00E01507"/>
    <w:rsid w:val="00E24A23"/>
    <w:rsid w:val="00E26F93"/>
    <w:rsid w:val="00E32F04"/>
    <w:rsid w:val="00E55ABF"/>
    <w:rsid w:val="00E616FC"/>
    <w:rsid w:val="00E738DE"/>
    <w:rsid w:val="00E928F5"/>
    <w:rsid w:val="00ED39AF"/>
    <w:rsid w:val="00ED3F3F"/>
    <w:rsid w:val="00EF438B"/>
    <w:rsid w:val="00EF7791"/>
    <w:rsid w:val="00F058E6"/>
    <w:rsid w:val="00F12264"/>
    <w:rsid w:val="00F1593F"/>
    <w:rsid w:val="00F211D4"/>
    <w:rsid w:val="00F250B3"/>
    <w:rsid w:val="00F3348F"/>
    <w:rsid w:val="00F42D93"/>
    <w:rsid w:val="00F47B2B"/>
    <w:rsid w:val="00F5318C"/>
    <w:rsid w:val="00F7571F"/>
    <w:rsid w:val="00F76DC6"/>
    <w:rsid w:val="00F7762F"/>
    <w:rsid w:val="00F84D21"/>
    <w:rsid w:val="00F916D5"/>
    <w:rsid w:val="00FB5150"/>
    <w:rsid w:val="00FD0924"/>
    <w:rsid w:val="00F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1DA8-194D-454E-96CD-1042051F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 Tekane</cp:lastModifiedBy>
  <cp:revision>2</cp:revision>
  <cp:lastPrinted>2017-02-20T13:16:00Z</cp:lastPrinted>
  <dcterms:created xsi:type="dcterms:W3CDTF">2017-02-27T12:11:00Z</dcterms:created>
  <dcterms:modified xsi:type="dcterms:W3CDTF">2017-02-27T12:11:00Z</dcterms:modified>
</cp:coreProperties>
</file>