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BF6F5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806BB0">
        <w:rPr>
          <w:b/>
          <w:sz w:val="24"/>
          <w:szCs w:val="24"/>
        </w:rPr>
        <w:t>511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26</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806BB0" w:rsidRPr="00742D39" w:rsidRDefault="00806BB0" w:rsidP="00806BB0">
      <w:pPr>
        <w:spacing w:before="100" w:beforeAutospacing="1" w:after="100" w:afterAutospacing="1"/>
        <w:ind w:left="720" w:hanging="720"/>
        <w:jc w:val="both"/>
        <w:outlineLvl w:val="0"/>
        <w:rPr>
          <w:b/>
          <w:sz w:val="24"/>
          <w:szCs w:val="24"/>
        </w:rPr>
      </w:pPr>
      <w:r w:rsidRPr="00742D39">
        <w:rPr>
          <w:b/>
          <w:sz w:val="24"/>
          <w:szCs w:val="24"/>
        </w:rPr>
        <w:t xml:space="preserve">Mr E J Marais (DA) to ask the Minister of </w:t>
      </w:r>
      <w:r w:rsidRPr="00742D39">
        <w:rPr>
          <w:rFonts w:eastAsia="Calibri"/>
          <w:b/>
          <w:sz w:val="24"/>
          <w:szCs w:val="24"/>
        </w:rPr>
        <w:t>Human Settlements, Water and Sanitation</w:t>
      </w:r>
      <w:r>
        <w:rPr>
          <w:rFonts w:eastAsia="Calibri"/>
          <w:b/>
          <w:sz w:val="24"/>
          <w:szCs w:val="24"/>
        </w:rPr>
        <w:fldChar w:fldCharType="begin"/>
      </w:r>
      <w:r>
        <w:instrText xml:space="preserve"> XE "</w:instrText>
      </w:r>
      <w:r w:rsidRPr="00DF5503">
        <w:rPr>
          <w:b/>
          <w:sz w:val="24"/>
          <w:szCs w:val="24"/>
        </w:rPr>
        <w:instrText>Human Settlements, Water and Sanitation</w:instrText>
      </w:r>
      <w:r>
        <w:instrText xml:space="preserve">" </w:instrText>
      </w:r>
      <w:r>
        <w:rPr>
          <w:rFonts w:eastAsia="Calibri"/>
          <w:b/>
          <w:sz w:val="24"/>
          <w:szCs w:val="24"/>
        </w:rPr>
        <w:fldChar w:fldCharType="end"/>
      </w:r>
      <w:r w:rsidRPr="00742D39">
        <w:rPr>
          <w:b/>
          <w:sz w:val="24"/>
          <w:szCs w:val="24"/>
        </w:rPr>
        <w:t>:</w:t>
      </w:r>
      <w:r>
        <w:rPr>
          <w:b/>
          <w:sz w:val="24"/>
          <w:szCs w:val="24"/>
        </w:rPr>
        <w:t xml:space="preserve"> (DHS and DWS)</w:t>
      </w:r>
    </w:p>
    <w:p w:rsidR="00806BB0" w:rsidRPr="00742D39" w:rsidRDefault="00806BB0" w:rsidP="00806BB0">
      <w:pPr>
        <w:spacing w:before="100" w:beforeAutospacing="1" w:after="100" w:afterAutospacing="1"/>
        <w:ind w:left="720" w:hanging="720"/>
        <w:jc w:val="both"/>
        <w:rPr>
          <w:sz w:val="24"/>
          <w:szCs w:val="24"/>
        </w:rPr>
      </w:pPr>
      <w:r w:rsidRPr="00742D39">
        <w:rPr>
          <w:sz w:val="24"/>
          <w:szCs w:val="24"/>
        </w:rPr>
        <w:t>(1)</w:t>
      </w:r>
      <w:r w:rsidRPr="00742D39">
        <w:rPr>
          <w:sz w:val="24"/>
          <w:szCs w:val="24"/>
        </w:rPr>
        <w:tab/>
        <w:t>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(i) what number of staff members and (ii) in what job or work categories are the specified staff members employed;</w:t>
      </w:r>
    </w:p>
    <w:p w:rsidR="00806BB0" w:rsidRPr="00742D39" w:rsidRDefault="00806BB0" w:rsidP="00806BB0">
      <w:pPr>
        <w:spacing w:before="100" w:beforeAutospacing="1" w:after="100" w:afterAutospacing="1"/>
        <w:ind w:left="720" w:hanging="720"/>
        <w:jc w:val="both"/>
      </w:pPr>
      <w:r w:rsidRPr="00742D39">
        <w:rPr>
          <w:sz w:val="24"/>
          <w:szCs w:val="24"/>
        </w:rPr>
        <w:t>(2)</w:t>
      </w:r>
      <w:r w:rsidRPr="00742D39">
        <w:rPr>
          <w:sz w:val="24"/>
          <w:szCs w:val="24"/>
        </w:rPr>
        <w:tab/>
        <w:t>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742D39">
        <w:rPr>
          <w:sz w:val="24"/>
          <w:szCs w:val="24"/>
        </w:rPr>
        <w:tab/>
      </w:r>
      <w:r w:rsidRPr="00742D39">
        <w:rPr>
          <w:sz w:val="24"/>
          <w:szCs w:val="24"/>
        </w:rPr>
        <w:tab/>
      </w:r>
      <w:r w:rsidRPr="00742D39">
        <w:rPr>
          <w:sz w:val="24"/>
          <w:szCs w:val="24"/>
        </w:rPr>
        <w:tab/>
      </w:r>
      <w:r w:rsidRPr="00742D39">
        <w:rPr>
          <w:sz w:val="24"/>
          <w:szCs w:val="24"/>
        </w:rPr>
        <w:tab/>
      </w:r>
      <w:r w:rsidRPr="00742D39">
        <w:rPr>
          <w:sz w:val="24"/>
          <w:szCs w:val="24"/>
        </w:rPr>
        <w:tab/>
      </w:r>
      <w:r w:rsidRPr="00742D39">
        <w:t>NW567E</w:t>
      </w:r>
    </w:p>
    <w:p w:rsidR="0075620A" w:rsidRDefault="0075620A" w:rsidP="002E18F1">
      <w:pPr>
        <w:spacing w:line="336" w:lineRule="auto"/>
        <w:ind w:left="720" w:hanging="720"/>
        <w:jc w:val="both"/>
        <w:rPr>
          <w:b/>
          <w:sz w:val="24"/>
          <w:szCs w:val="24"/>
        </w:rPr>
      </w:pPr>
    </w:p>
    <w:p w:rsidR="008A2088" w:rsidRDefault="00EB6AA1" w:rsidP="0075620A">
      <w:pPr>
        <w:tabs>
          <w:tab w:val="left" w:pos="2300"/>
        </w:tabs>
        <w:spacing w:line="336" w:lineRule="auto"/>
        <w:ind w:left="720" w:hanging="720"/>
        <w:jc w:val="both"/>
        <w:rPr>
          <w:b/>
          <w:sz w:val="24"/>
          <w:szCs w:val="24"/>
        </w:rPr>
      </w:pPr>
      <w:r w:rsidRPr="00832AD2">
        <w:rPr>
          <w:b/>
          <w:sz w:val="24"/>
          <w:szCs w:val="24"/>
        </w:rPr>
        <w:t>REPLY:</w:t>
      </w:r>
    </w:p>
    <w:p w:rsidR="00911C4F" w:rsidRPr="00C87304" w:rsidRDefault="00911C4F" w:rsidP="00911C4F">
      <w:pPr>
        <w:spacing w:line="360" w:lineRule="atLeast"/>
        <w:ind w:left="720" w:hanging="720"/>
        <w:rPr>
          <w:sz w:val="24"/>
          <w:szCs w:val="24"/>
        </w:rPr>
      </w:pPr>
      <w:r w:rsidRPr="00C87304">
        <w:rPr>
          <w:sz w:val="24"/>
          <w:szCs w:val="24"/>
        </w:rPr>
        <w:t xml:space="preserve">(1)(a)(b) According to the records of the Department of Human Settlements (DHS), there are three (3) officials who performed other remunerative work since 2014 to date, after their applications were duly approved by the Executive Authority.  </w:t>
      </w:r>
    </w:p>
    <w:p w:rsidR="00911C4F" w:rsidRPr="00C87304" w:rsidRDefault="00911C4F" w:rsidP="00911C4F">
      <w:pPr>
        <w:pStyle w:val="ListParagraph"/>
        <w:tabs>
          <w:tab w:val="left" w:pos="567"/>
          <w:tab w:val="left" w:pos="900"/>
          <w:tab w:val="left" w:pos="1134"/>
        </w:tabs>
        <w:spacing w:line="360" w:lineRule="atLeast"/>
        <w:ind w:left="1440" w:hanging="1440"/>
        <w:jc w:val="both"/>
      </w:pPr>
      <w:r w:rsidRPr="00C87304">
        <w:t xml:space="preserve"> </w:t>
      </w:r>
      <w:r w:rsidRPr="00C87304">
        <w:tab/>
      </w:r>
    </w:p>
    <w:p w:rsidR="00911C4F" w:rsidRDefault="00911C4F" w:rsidP="00911C4F">
      <w:pPr>
        <w:pStyle w:val="ListParagraph"/>
        <w:numPr>
          <w:ilvl w:val="0"/>
          <w:numId w:val="10"/>
        </w:numPr>
        <w:tabs>
          <w:tab w:val="left" w:pos="709"/>
          <w:tab w:val="left" w:pos="990"/>
        </w:tabs>
        <w:spacing w:line="360" w:lineRule="atLeast"/>
        <w:ind w:left="1134" w:hanging="1066"/>
        <w:jc w:val="both"/>
      </w:pPr>
      <w:r>
        <w:t xml:space="preserve">(a)  The Department uses the “Guide on Managing other Remunerative Work in The Public Service” which, amongst others prescribes a form to be used for applying to perform other remunerative work outside the Public Service. It further prescribes that no Public Servant </w:t>
      </w:r>
      <w:r>
        <w:lastRenderedPageBreak/>
        <w:t>will be allowed to perform business with the State and that approval to perform other remunerative work will be valid for one year.</w:t>
      </w:r>
    </w:p>
    <w:p w:rsidR="00911C4F" w:rsidRDefault="00911C4F" w:rsidP="00911C4F">
      <w:pPr>
        <w:pStyle w:val="ListParagraph"/>
        <w:numPr>
          <w:ilvl w:val="0"/>
          <w:numId w:val="11"/>
        </w:numPr>
        <w:tabs>
          <w:tab w:val="left" w:pos="709"/>
          <w:tab w:val="left" w:pos="1134"/>
        </w:tabs>
        <w:spacing w:line="360" w:lineRule="atLeast"/>
        <w:jc w:val="both"/>
      </w:pPr>
      <w:r>
        <w:t xml:space="preserve">The Minister, guided by the recommendations of the Ethics Officer, makes a decision on the applications. </w:t>
      </w:r>
    </w:p>
    <w:p w:rsidR="00911C4F" w:rsidRDefault="00911C4F" w:rsidP="00911C4F">
      <w:pPr>
        <w:pStyle w:val="ListParagraph"/>
        <w:tabs>
          <w:tab w:val="left" w:pos="709"/>
          <w:tab w:val="left" w:pos="1134"/>
        </w:tabs>
        <w:spacing w:line="360" w:lineRule="atLeast"/>
        <w:ind w:left="1069"/>
        <w:jc w:val="both"/>
      </w:pPr>
    </w:p>
    <w:p w:rsidR="00911C4F" w:rsidRDefault="00911C4F" w:rsidP="00911C4F">
      <w:pPr>
        <w:pStyle w:val="ListParagraph"/>
        <w:numPr>
          <w:ilvl w:val="0"/>
          <w:numId w:val="11"/>
        </w:numPr>
        <w:tabs>
          <w:tab w:val="left" w:pos="709"/>
          <w:tab w:val="left" w:pos="1134"/>
        </w:tabs>
        <w:spacing w:line="360" w:lineRule="atLeast"/>
        <w:jc w:val="both"/>
      </w:pPr>
      <w:r>
        <w:t xml:space="preserve">None </w:t>
      </w:r>
    </w:p>
    <w:p w:rsidR="00911C4F" w:rsidRDefault="00911C4F" w:rsidP="00911C4F">
      <w:pPr>
        <w:pStyle w:val="ListParagraph"/>
        <w:spacing w:line="360" w:lineRule="atLeast"/>
      </w:pPr>
    </w:p>
    <w:p w:rsidR="00911C4F" w:rsidRPr="00764964" w:rsidRDefault="00911C4F" w:rsidP="00911C4F">
      <w:pPr>
        <w:pStyle w:val="ListParagraph"/>
        <w:numPr>
          <w:ilvl w:val="0"/>
          <w:numId w:val="11"/>
        </w:numPr>
        <w:tabs>
          <w:tab w:val="left" w:pos="709"/>
          <w:tab w:val="left" w:pos="1134"/>
        </w:tabs>
        <w:spacing w:line="360" w:lineRule="atLeast"/>
        <w:jc w:val="both"/>
      </w:pPr>
      <w:r>
        <w:t>Not applicable.</w:t>
      </w:r>
    </w:p>
    <w:p w:rsidR="00911C4F" w:rsidRDefault="00911C4F" w:rsidP="00911C4F">
      <w:pPr>
        <w:tabs>
          <w:tab w:val="left" w:pos="2300"/>
        </w:tabs>
        <w:spacing w:line="360" w:lineRule="atLeast"/>
        <w:ind w:left="720" w:hanging="720"/>
        <w:jc w:val="both"/>
        <w:rPr>
          <w:b/>
          <w:sz w:val="24"/>
          <w:szCs w:val="24"/>
        </w:rPr>
      </w:pPr>
      <w:r>
        <w:rPr>
          <w:b/>
          <w:sz w:val="24"/>
          <w:szCs w:val="24"/>
        </w:rPr>
        <w:tab/>
      </w:r>
    </w:p>
    <w:p w:rsidR="004A13DD" w:rsidRDefault="004A13DD" w:rsidP="00911C4F">
      <w:pPr>
        <w:spacing w:line="360" w:lineRule="atLeast"/>
        <w:ind w:left="720" w:hanging="720"/>
        <w:rPr>
          <w:b/>
          <w:sz w:val="24"/>
          <w:szCs w:val="24"/>
        </w:rPr>
      </w:pPr>
    </w:p>
    <w:sectPr w:rsidR="004A13D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D9" w:rsidRDefault="00D93BD9" w:rsidP="00054FEC">
      <w:r>
        <w:separator/>
      </w:r>
    </w:p>
  </w:endnote>
  <w:endnote w:type="continuationSeparator" w:id="0">
    <w:p w:rsidR="00D93BD9" w:rsidRDefault="00D93BD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D9" w:rsidRDefault="00D93BD9" w:rsidP="00054FEC">
      <w:r>
        <w:separator/>
      </w:r>
    </w:p>
  </w:footnote>
  <w:footnote w:type="continuationSeparator" w:id="0">
    <w:p w:rsidR="00D93BD9" w:rsidRDefault="00D93BD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806BB0">
      <w:t>511</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E7D41"/>
    <w:multiLevelType w:val="hybridMultilevel"/>
    <w:tmpl w:val="B45848AA"/>
    <w:lvl w:ilvl="0" w:tplc="844609D6">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2A1078D"/>
    <w:multiLevelType w:val="hybridMultilevel"/>
    <w:tmpl w:val="A1C460C4"/>
    <w:lvl w:ilvl="0" w:tplc="9730772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5"/>
  </w:num>
  <w:num w:numId="9">
    <w:abstractNumId w:val="8"/>
  </w:num>
  <w:num w:numId="10">
    <w:abstractNumId w:val="3"/>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E1A89"/>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2088"/>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1C4F"/>
    <w:rsid w:val="00916792"/>
    <w:rsid w:val="00917CDC"/>
    <w:rsid w:val="00924EAF"/>
    <w:rsid w:val="00927BDA"/>
    <w:rsid w:val="009306E0"/>
    <w:rsid w:val="00931E14"/>
    <w:rsid w:val="00933DC0"/>
    <w:rsid w:val="00933E0F"/>
    <w:rsid w:val="009358B9"/>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6F5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9A0"/>
    <w:rsid w:val="00C74E11"/>
    <w:rsid w:val="00C86B1F"/>
    <w:rsid w:val="00C87304"/>
    <w:rsid w:val="00C927F2"/>
    <w:rsid w:val="00C960DE"/>
    <w:rsid w:val="00CA1F73"/>
    <w:rsid w:val="00CA6FA2"/>
    <w:rsid w:val="00CB24C2"/>
    <w:rsid w:val="00CB4D07"/>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3BD9"/>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84C0E"/>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1EF4"/>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Tex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2021-03-30T07:45:00Z</dcterms:created>
  <dcterms:modified xsi:type="dcterms:W3CDTF">2021-03-30T07:45:00Z</dcterms:modified>
</cp:coreProperties>
</file>