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576231" w:rsidP="006F2271">
      <w:pPr>
        <w:jc w:val="center"/>
        <w:rPr>
          <w:rFonts w:ascii="Trebuchet MS" w:hAnsi="Trebuchet MS"/>
          <w:b/>
          <w:bCs/>
        </w:rPr>
      </w:pPr>
      <w:r>
        <w:rPr>
          <w:noProof/>
          <w:lang w:val="en-ZA" w:eastAsia="en-ZA"/>
        </w:rPr>
        <w:drawing>
          <wp:anchor distT="0" distB="0" distL="114300" distR="114300" simplePos="0" relativeHeight="251657728" behindDoc="0" locked="0" layoutInCell="1" allowOverlap="1">
            <wp:simplePos x="0" y="0"/>
            <wp:positionH relativeFrom="column">
              <wp:posOffset>2785110</wp:posOffset>
            </wp:positionH>
            <wp:positionV relativeFrom="paragraph">
              <wp:posOffset>-344170</wp:posOffset>
            </wp:positionV>
            <wp:extent cx="499745" cy="621665"/>
            <wp:effectExtent l="19050" t="0" r="0" b="0"/>
            <wp:wrapTopAndBottom/>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8"/>
                    <a:srcRect/>
                    <a:stretch>
                      <a:fillRect/>
                    </a:stretch>
                  </pic:blipFill>
                  <pic:spPr bwMode="auto">
                    <a:xfrm>
                      <a:off x="0" y="0"/>
                      <a:ext cx="499745" cy="621665"/>
                    </a:xfrm>
                    <a:prstGeom prst="rect">
                      <a:avLst/>
                    </a:prstGeom>
                    <a:noFill/>
                    <a:ln w="9525">
                      <a:noFill/>
                      <a:miter lim="800000"/>
                      <a:headEnd/>
                      <a:tailEnd/>
                    </a:ln>
                  </pic:spPr>
                </pic:pic>
              </a:graphicData>
            </a:graphic>
          </wp:anchor>
        </w:drawing>
      </w:r>
      <w:r w:rsidR="006F2271">
        <w:rPr>
          <w:rFonts w:ascii="Trebuchet MS" w:hAnsi="Trebuchet MS"/>
        </w:rP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310A91">
        <w:rPr>
          <w:rFonts w:ascii="Trebuchet MS" w:hAnsi="Trebuchet MS"/>
          <w:color w:val="0000FF"/>
          <w:sz w:val="18"/>
          <w:szCs w:val="18"/>
          <w:u w:val="single"/>
        </w:rPr>
        <w:t>Malusi</w:t>
      </w:r>
      <w:r w:rsidR="00506541">
        <w:rPr>
          <w:rFonts w:ascii="Trebuchet MS" w:hAnsi="Trebuchet MS"/>
          <w:color w:val="0000FF"/>
          <w:sz w:val="18"/>
          <w:szCs w:val="18"/>
          <w:u w:val="single"/>
        </w:rPr>
        <w:t>.</w:t>
      </w:r>
      <w:r w:rsidR="00310A91">
        <w:rPr>
          <w:rFonts w:ascii="Trebuchet MS" w:hAnsi="Trebuchet MS"/>
          <w:color w:val="0000FF"/>
          <w:sz w:val="18"/>
          <w:szCs w:val="18"/>
          <w:u w:val="single"/>
        </w:rPr>
        <w:t>ndlovu</w:t>
      </w:r>
      <w:r w:rsidR="00506541">
        <w:rPr>
          <w:rFonts w:ascii="Trebuchet MS" w:hAnsi="Trebuchet MS"/>
          <w:color w:val="0000FF"/>
          <w:sz w:val="18"/>
          <w:szCs w:val="18"/>
          <w:u w:val="single"/>
        </w:rPr>
        <w:t>@energy.gov.za</w:t>
      </w:r>
    </w:p>
    <w:p w:rsidR="006F2271" w:rsidRPr="00F13B46"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Cs w:val="24"/>
          <w:lang w:val="en-ZA"/>
        </w:rPr>
      </w:pPr>
      <w:r w:rsidRPr="009D5245">
        <w:rPr>
          <w:rFonts w:cs="Tunga"/>
          <w:b/>
          <w:szCs w:val="24"/>
          <w:lang w:val="en-ZA"/>
        </w:rPr>
        <w:tab/>
      </w:r>
      <w:r w:rsidRPr="00F13B46">
        <w:rPr>
          <w:rFonts w:ascii="Arial Narrow" w:hAnsi="Arial Narrow" w:cs="Tunga"/>
          <w:b/>
          <w:szCs w:val="24"/>
          <w:lang w:val="en-ZA"/>
        </w:rPr>
        <w:t>Memorandum from the Parliamentary Office</w:t>
      </w:r>
    </w:p>
    <w:p w:rsidR="00692BA1" w:rsidRPr="00505640" w:rsidRDefault="00692BA1" w:rsidP="00505640">
      <w:pPr>
        <w:spacing w:before="100" w:beforeAutospacing="1" w:after="100" w:afterAutospacing="1"/>
        <w:ind w:left="720" w:hanging="720"/>
        <w:jc w:val="both"/>
        <w:rPr>
          <w:rFonts w:ascii="Arial" w:hAnsi="Arial" w:cs="Arial"/>
          <w:b/>
          <w:sz w:val="24"/>
          <w:szCs w:val="24"/>
        </w:rPr>
      </w:pPr>
      <w:r w:rsidRPr="00505640">
        <w:rPr>
          <w:rFonts w:ascii="Arial" w:hAnsi="Arial" w:cs="Arial"/>
          <w:b/>
          <w:sz w:val="24"/>
          <w:szCs w:val="24"/>
        </w:rPr>
        <w:t>507.</w:t>
      </w:r>
      <w:r w:rsidRPr="00505640">
        <w:rPr>
          <w:rFonts w:ascii="Arial" w:hAnsi="Arial" w:cs="Arial"/>
          <w:b/>
          <w:sz w:val="24"/>
          <w:szCs w:val="24"/>
        </w:rPr>
        <w:tab/>
        <w:t>Mr G Mackay (DA) to ask the Minister of Energy:</w:t>
      </w:r>
    </w:p>
    <w:p w:rsidR="00692BA1" w:rsidRPr="00505640" w:rsidRDefault="00692BA1" w:rsidP="00505640">
      <w:pPr>
        <w:spacing w:before="100" w:beforeAutospacing="1" w:after="100" w:afterAutospacing="1"/>
        <w:ind w:left="1440" w:hanging="720"/>
        <w:jc w:val="both"/>
        <w:rPr>
          <w:rFonts w:ascii="Arial" w:hAnsi="Arial" w:cs="Arial"/>
          <w:sz w:val="24"/>
          <w:szCs w:val="24"/>
        </w:rPr>
      </w:pPr>
      <w:r w:rsidRPr="00505640">
        <w:rPr>
          <w:rFonts w:ascii="Arial" w:hAnsi="Arial" w:cs="Arial"/>
          <w:sz w:val="24"/>
          <w:szCs w:val="24"/>
        </w:rPr>
        <w:t>(1)</w:t>
      </w:r>
      <w:r w:rsidRPr="00505640">
        <w:rPr>
          <w:rFonts w:ascii="Arial" w:hAnsi="Arial" w:cs="Arial"/>
          <w:sz w:val="24"/>
          <w:szCs w:val="24"/>
        </w:rPr>
        <w:tab/>
        <w:t>Whether she will furnish Mr. G Mackay with the full unabridged contract of the Strategic Fuel Fund’s sale of crude oil in December 2015; if not, why not; if so, by what date;</w:t>
      </w:r>
    </w:p>
    <w:p w:rsidR="00692BA1" w:rsidRPr="00505640" w:rsidRDefault="00692BA1" w:rsidP="00505640">
      <w:pPr>
        <w:spacing w:before="100" w:beforeAutospacing="1" w:after="100" w:afterAutospacing="1"/>
        <w:ind w:left="1440" w:hanging="720"/>
        <w:jc w:val="both"/>
        <w:rPr>
          <w:rFonts w:ascii="Arial" w:hAnsi="Arial" w:cs="Arial"/>
          <w:sz w:val="24"/>
          <w:szCs w:val="24"/>
        </w:rPr>
      </w:pPr>
      <w:r w:rsidRPr="00505640">
        <w:rPr>
          <w:rFonts w:ascii="Arial" w:hAnsi="Arial" w:cs="Arial"/>
          <w:sz w:val="24"/>
          <w:szCs w:val="24"/>
        </w:rPr>
        <w:t>(2)</w:t>
      </w:r>
      <w:r w:rsidRPr="00505640">
        <w:rPr>
          <w:rFonts w:ascii="Arial" w:hAnsi="Arial" w:cs="Arial"/>
          <w:sz w:val="24"/>
          <w:szCs w:val="24"/>
        </w:rPr>
        <w:tab/>
        <w:t>What (a) (i) statutory grounds and (ii) procurement regulations were relied on for the specified sale and (b) were the (i) quantities and (ii) grades of the various fuel stocks that were sold?</w:t>
      </w:r>
      <w:r w:rsidR="00505640" w:rsidRPr="00505640">
        <w:rPr>
          <w:rFonts w:ascii="Arial" w:hAnsi="Arial" w:cs="Arial"/>
          <w:sz w:val="24"/>
          <w:szCs w:val="24"/>
        </w:rPr>
        <w:t xml:space="preserve"> </w:t>
      </w:r>
      <w:r w:rsidRPr="00505640">
        <w:rPr>
          <w:rFonts w:ascii="Arial" w:hAnsi="Arial" w:cs="Arial"/>
          <w:sz w:val="24"/>
          <w:szCs w:val="24"/>
        </w:rPr>
        <w:t>NW564E</w:t>
      </w:r>
    </w:p>
    <w:p w:rsidR="0099197C" w:rsidRPr="00505640" w:rsidRDefault="0099197C" w:rsidP="00505640">
      <w:pPr>
        <w:ind w:left="709"/>
        <w:jc w:val="both"/>
        <w:rPr>
          <w:rFonts w:ascii="Arial" w:hAnsi="Arial" w:cs="Arial"/>
          <w:b/>
          <w:sz w:val="24"/>
          <w:szCs w:val="24"/>
        </w:rPr>
      </w:pPr>
      <w:r w:rsidRPr="00505640">
        <w:rPr>
          <w:rFonts w:ascii="Arial" w:hAnsi="Arial" w:cs="Arial"/>
          <w:b/>
          <w:sz w:val="24"/>
          <w:szCs w:val="24"/>
        </w:rPr>
        <w:t>Reply</w:t>
      </w:r>
    </w:p>
    <w:p w:rsidR="00C07935" w:rsidRPr="00505640" w:rsidRDefault="00C07935" w:rsidP="00505640">
      <w:pPr>
        <w:spacing w:before="100" w:beforeAutospacing="1" w:after="100" w:afterAutospacing="1"/>
        <w:ind w:left="1440" w:hanging="720"/>
        <w:jc w:val="both"/>
        <w:rPr>
          <w:rFonts w:ascii="Arial" w:hAnsi="Arial" w:cs="Arial"/>
          <w:sz w:val="24"/>
          <w:szCs w:val="24"/>
        </w:rPr>
      </w:pPr>
      <w:r w:rsidRPr="00505640">
        <w:rPr>
          <w:rFonts w:ascii="Arial" w:hAnsi="Arial" w:cs="Arial"/>
          <w:sz w:val="24"/>
          <w:szCs w:val="24"/>
        </w:rPr>
        <w:t>(1)</w:t>
      </w:r>
      <w:r w:rsidRPr="00505640">
        <w:rPr>
          <w:rFonts w:ascii="Arial" w:hAnsi="Arial" w:cs="Arial"/>
          <w:sz w:val="24"/>
          <w:szCs w:val="24"/>
        </w:rPr>
        <w:tab/>
        <w:t xml:space="preserve">The agreements for the sale of crude oil entered into by SFF with the buyers contain confidentiality provisions that prohibit SFF from disclosing the contents of these agreements to third parties. The consent to disclose to third parties must first be obtained from the buyers before such disclosure can happen. The buyers have a right, in contract, to decline SFF’s request unless SFF is compelled in law to make a disclosure.   </w:t>
      </w:r>
      <w:r w:rsidRPr="00505640">
        <w:rPr>
          <w:rFonts w:ascii="Arial" w:hAnsi="Arial" w:cs="Arial"/>
          <w:sz w:val="24"/>
          <w:szCs w:val="24"/>
        </w:rPr>
        <w:tab/>
      </w:r>
    </w:p>
    <w:p w:rsidR="00C07935" w:rsidRPr="00505640" w:rsidRDefault="00C07935" w:rsidP="00505640">
      <w:pPr>
        <w:spacing w:before="100" w:beforeAutospacing="1" w:after="100" w:afterAutospacing="1"/>
        <w:ind w:left="1440" w:hanging="720"/>
        <w:jc w:val="both"/>
        <w:rPr>
          <w:rFonts w:ascii="Arial" w:hAnsi="Arial" w:cs="Arial"/>
          <w:sz w:val="24"/>
          <w:szCs w:val="24"/>
        </w:rPr>
      </w:pPr>
      <w:r w:rsidRPr="00505640">
        <w:rPr>
          <w:rFonts w:ascii="Arial" w:hAnsi="Arial" w:cs="Arial"/>
          <w:sz w:val="24"/>
          <w:szCs w:val="24"/>
        </w:rPr>
        <w:t>(2)</w:t>
      </w:r>
      <w:r w:rsidRPr="00505640">
        <w:rPr>
          <w:rFonts w:ascii="Arial" w:hAnsi="Arial" w:cs="Arial"/>
          <w:sz w:val="24"/>
          <w:szCs w:val="24"/>
        </w:rPr>
        <w:tab/>
        <w:t xml:space="preserve">(a)(i) National Energy Act 2008, s17(1) states that </w:t>
      </w:r>
      <w:r w:rsidRPr="00505640">
        <w:rPr>
          <w:rFonts w:ascii="Arial" w:hAnsi="Arial" w:cs="Arial"/>
          <w:i/>
          <w:sz w:val="24"/>
          <w:szCs w:val="24"/>
        </w:rPr>
        <w:t>‘The Minister may, in a prescribed manner, for the purpose of ensuring security of supply, direct any state-owned entity to […] maintain and manage national energy feedstocks</w:t>
      </w:r>
      <w:r w:rsidRPr="00505640">
        <w:rPr>
          <w:rFonts w:ascii="Arial" w:hAnsi="Arial" w:cs="Arial"/>
          <w:sz w:val="24"/>
          <w:szCs w:val="24"/>
        </w:rPr>
        <w:t xml:space="preserve">’ and through s17(2) </w:t>
      </w:r>
      <w:r w:rsidRPr="00505640">
        <w:rPr>
          <w:rFonts w:ascii="Arial" w:hAnsi="Arial" w:cs="Arial"/>
          <w:i/>
          <w:sz w:val="24"/>
          <w:szCs w:val="24"/>
        </w:rPr>
        <w:t>‘the nominated state-owned entity must perform the functions in subsection 17(1) in accordance with the relevant published security of supply strategies’</w:t>
      </w:r>
      <w:r w:rsidRPr="00505640">
        <w:rPr>
          <w:rFonts w:ascii="Arial" w:hAnsi="Arial" w:cs="Arial"/>
          <w:sz w:val="24"/>
          <w:szCs w:val="24"/>
        </w:rPr>
        <w:t xml:space="preserve">  and read with s17(3)(b)(ii) which states that </w:t>
      </w:r>
      <w:r w:rsidRPr="00505640">
        <w:rPr>
          <w:rFonts w:ascii="Arial" w:hAnsi="Arial" w:cs="Arial"/>
          <w:i/>
          <w:sz w:val="24"/>
          <w:szCs w:val="24"/>
        </w:rPr>
        <w:t>‘the strategies or policies contemplated in subsection 17(2) may contain but not be limited to the conditions under which withdrawals may be made from such strategic energy feedstocks’.</w:t>
      </w:r>
      <w:r w:rsidRPr="00505640">
        <w:rPr>
          <w:rFonts w:ascii="Arial" w:hAnsi="Arial" w:cs="Arial"/>
          <w:sz w:val="24"/>
          <w:szCs w:val="24"/>
        </w:rPr>
        <w:t xml:space="preserve">  </w:t>
      </w:r>
    </w:p>
    <w:p w:rsidR="00C07935" w:rsidRPr="00505640" w:rsidRDefault="00C07935" w:rsidP="00505640">
      <w:pPr>
        <w:spacing w:before="100" w:beforeAutospacing="1" w:after="100" w:afterAutospacing="1"/>
        <w:ind w:left="1440" w:hanging="720"/>
        <w:jc w:val="both"/>
        <w:rPr>
          <w:rFonts w:ascii="Arial" w:hAnsi="Arial" w:cs="Arial"/>
          <w:b/>
          <w:i/>
          <w:sz w:val="24"/>
          <w:szCs w:val="24"/>
        </w:rPr>
      </w:pPr>
      <w:r w:rsidRPr="00505640">
        <w:rPr>
          <w:rFonts w:ascii="Arial" w:hAnsi="Arial" w:cs="Arial"/>
          <w:sz w:val="24"/>
          <w:szCs w:val="24"/>
        </w:rPr>
        <w:lastRenderedPageBreak/>
        <w:tab/>
        <w:t xml:space="preserve">2(a)(ii) </w:t>
      </w:r>
      <w:r w:rsidRPr="00505640">
        <w:rPr>
          <w:rFonts w:ascii="Arial" w:hAnsi="Arial" w:cs="Arial"/>
          <w:sz w:val="24"/>
          <w:szCs w:val="24"/>
          <w:u w:val="single"/>
        </w:rPr>
        <w:t>Procurement</w:t>
      </w:r>
      <w:r w:rsidRPr="00505640">
        <w:rPr>
          <w:rFonts w:ascii="Arial" w:hAnsi="Arial" w:cs="Arial"/>
          <w:sz w:val="24"/>
          <w:szCs w:val="24"/>
        </w:rPr>
        <w:t xml:space="preserve"> regulations apply to procurement of goods and services, the sale was governed by subsection 54(2)(d) Public Finance Management Act 1 of 1999 which states that </w:t>
      </w:r>
      <w:r w:rsidRPr="00505640">
        <w:rPr>
          <w:rFonts w:ascii="Arial" w:hAnsi="Arial" w:cs="Arial"/>
          <w:i/>
          <w:sz w:val="24"/>
          <w:szCs w:val="24"/>
        </w:rPr>
        <w:t>‘Before a public entity concludes an [acquisition or disposal of a significant asset], the accounting authority of the public entity must promptly and in writing inform the relevant treasury of the transaction and submit relevant particulars of the transaction to its executive authority for approval of the transaction.’</w:t>
      </w:r>
    </w:p>
    <w:p w:rsidR="00C07935" w:rsidRPr="00505640" w:rsidRDefault="00C07935" w:rsidP="00505640">
      <w:pPr>
        <w:spacing w:before="100" w:beforeAutospacing="1" w:after="100" w:afterAutospacing="1"/>
        <w:ind w:left="1440"/>
        <w:jc w:val="both"/>
        <w:rPr>
          <w:rFonts w:ascii="Arial" w:hAnsi="Arial" w:cs="Arial"/>
          <w:sz w:val="24"/>
          <w:szCs w:val="24"/>
        </w:rPr>
      </w:pPr>
      <w:r w:rsidRPr="00505640">
        <w:rPr>
          <w:rFonts w:ascii="Arial" w:hAnsi="Arial" w:cs="Arial"/>
          <w:sz w:val="24"/>
          <w:szCs w:val="24"/>
        </w:rPr>
        <w:t>2(b)(i) 10 million barrels;</w:t>
      </w:r>
    </w:p>
    <w:p w:rsidR="00C07935" w:rsidRPr="00505640" w:rsidRDefault="00C07935" w:rsidP="00505640">
      <w:pPr>
        <w:spacing w:before="100" w:beforeAutospacing="1" w:after="100" w:afterAutospacing="1"/>
        <w:ind w:left="1440"/>
        <w:jc w:val="both"/>
        <w:rPr>
          <w:rFonts w:ascii="Arial" w:hAnsi="Arial" w:cs="Arial"/>
          <w:sz w:val="24"/>
          <w:szCs w:val="24"/>
        </w:rPr>
      </w:pPr>
      <w:r w:rsidRPr="00505640">
        <w:rPr>
          <w:rFonts w:ascii="Arial" w:hAnsi="Arial" w:cs="Arial"/>
          <w:sz w:val="24"/>
          <w:szCs w:val="24"/>
        </w:rPr>
        <w:t>2(b)(ii) Bonny Light and Basrah blend.</w:t>
      </w:r>
    </w:p>
    <w:p w:rsidR="00C07935" w:rsidRPr="00692BA1" w:rsidRDefault="00C07935" w:rsidP="00692BA1">
      <w:pPr>
        <w:spacing w:line="360" w:lineRule="auto"/>
        <w:ind w:left="709"/>
        <w:jc w:val="both"/>
        <w:rPr>
          <w:rFonts w:ascii="Arial" w:hAnsi="Arial" w:cs="Arial"/>
          <w:b/>
          <w:sz w:val="24"/>
          <w:szCs w:val="24"/>
        </w:rPr>
      </w:pPr>
    </w:p>
    <w:sectPr w:rsidR="00C07935" w:rsidRPr="00692BA1"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C08" w:rsidRDefault="00362C08" w:rsidP="00E149A9">
      <w:pPr>
        <w:spacing w:after="0" w:line="240" w:lineRule="auto"/>
      </w:pPr>
      <w:r>
        <w:separator/>
      </w:r>
    </w:p>
  </w:endnote>
  <w:endnote w:type="continuationSeparator" w:id="0">
    <w:p w:rsidR="00362C08" w:rsidRDefault="00362C08"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83" w:rsidRDefault="00C12983">
    <w:pPr>
      <w:pStyle w:val="Footer"/>
      <w:rPr>
        <w:lang w:val="en-US"/>
      </w:rPr>
    </w:pPr>
  </w:p>
  <w:p w:rsidR="00C12983" w:rsidRPr="00B85542" w:rsidRDefault="00C12983">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C08" w:rsidRDefault="00362C08" w:rsidP="00E149A9">
      <w:pPr>
        <w:spacing w:after="0" w:line="240" w:lineRule="auto"/>
      </w:pPr>
      <w:r>
        <w:separator/>
      </w:r>
    </w:p>
  </w:footnote>
  <w:footnote w:type="continuationSeparator" w:id="0">
    <w:p w:rsidR="00362C08" w:rsidRDefault="00362C08"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317A6C"/>
    <w:multiLevelType w:val="hybridMultilevel"/>
    <w:tmpl w:val="B506211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B53B80"/>
    <w:multiLevelType w:val="hybridMultilevel"/>
    <w:tmpl w:val="AC70C13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5657C19"/>
    <w:multiLevelType w:val="hybridMultilevel"/>
    <w:tmpl w:val="AC70C13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4F049F7"/>
    <w:multiLevelType w:val="hybridMultilevel"/>
    <w:tmpl w:val="5C0A3D7A"/>
    <w:lvl w:ilvl="0" w:tplc="DCC2C2DE">
      <w:start w:val="2"/>
      <w:numFmt w:val="lowerLetter"/>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nsid w:val="27022C2B"/>
    <w:multiLevelType w:val="hybridMultilevel"/>
    <w:tmpl w:val="832CC054"/>
    <w:lvl w:ilvl="0" w:tplc="9F0E7128">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6">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AB230C5"/>
    <w:multiLevelType w:val="hybridMultilevel"/>
    <w:tmpl w:val="5F6C156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9">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98297B"/>
    <w:multiLevelType w:val="hybridMultilevel"/>
    <w:tmpl w:val="9A8211F4"/>
    <w:lvl w:ilvl="0" w:tplc="9EDAA84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A894053"/>
    <w:multiLevelType w:val="hybridMultilevel"/>
    <w:tmpl w:val="6978BD30"/>
    <w:lvl w:ilvl="0" w:tplc="6BDC44B8">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B0B0EC6"/>
    <w:multiLevelType w:val="hybridMultilevel"/>
    <w:tmpl w:val="F716998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E57A63"/>
    <w:multiLevelType w:val="hybridMultilevel"/>
    <w:tmpl w:val="6316A8CE"/>
    <w:lvl w:ilvl="0" w:tplc="E90ABD9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18A786F"/>
    <w:multiLevelType w:val="hybridMultilevel"/>
    <w:tmpl w:val="A27A9DD6"/>
    <w:lvl w:ilvl="0" w:tplc="C95666C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95D2F8C"/>
    <w:multiLevelType w:val="hybridMultilevel"/>
    <w:tmpl w:val="0A6ACBB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BBF15A1"/>
    <w:multiLevelType w:val="hybridMultilevel"/>
    <w:tmpl w:val="0A6ACBB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20"/>
  </w:num>
  <w:num w:numId="3">
    <w:abstractNumId w:val="2"/>
  </w:num>
  <w:num w:numId="4">
    <w:abstractNumId w:val="5"/>
  </w:num>
  <w:num w:numId="5">
    <w:abstractNumId w:val="30"/>
  </w:num>
  <w:num w:numId="6">
    <w:abstractNumId w:val="35"/>
  </w:num>
  <w:num w:numId="7">
    <w:abstractNumId w:val="28"/>
  </w:num>
  <w:num w:numId="8">
    <w:abstractNumId w:val="1"/>
  </w:num>
  <w:num w:numId="9">
    <w:abstractNumId w:val="19"/>
  </w:num>
  <w:num w:numId="10">
    <w:abstractNumId w:val="14"/>
  </w:num>
  <w:num w:numId="11">
    <w:abstractNumId w:val="18"/>
  </w:num>
  <w:num w:numId="12">
    <w:abstractNumId w:val="26"/>
  </w:num>
  <w:num w:numId="13">
    <w:abstractNumId w:val="15"/>
  </w:num>
  <w:num w:numId="14">
    <w:abstractNumId w:val="8"/>
  </w:num>
  <w:num w:numId="15">
    <w:abstractNumId w:val="36"/>
  </w:num>
  <w:num w:numId="16">
    <w:abstractNumId w:val="25"/>
  </w:num>
  <w:num w:numId="17">
    <w:abstractNumId w:val="16"/>
  </w:num>
  <w:num w:numId="18">
    <w:abstractNumId w:val="23"/>
  </w:num>
  <w:num w:numId="19">
    <w:abstractNumId w:val="32"/>
  </w:num>
  <w:num w:numId="20">
    <w:abstractNumId w:val="33"/>
  </w:num>
  <w:num w:numId="21">
    <w:abstractNumId w:val="6"/>
  </w:num>
  <w:num w:numId="22">
    <w:abstractNumId w:val="29"/>
  </w:num>
  <w:num w:numId="23">
    <w:abstractNumId w:val="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8"/>
  </w:num>
  <w:num w:numId="29">
    <w:abstractNumId w:val="34"/>
  </w:num>
  <w:num w:numId="30">
    <w:abstractNumId w:val="22"/>
  </w:num>
  <w:num w:numId="31">
    <w:abstractNumId w:val="37"/>
  </w:num>
  <w:num w:numId="32">
    <w:abstractNumId w:val="12"/>
  </w:num>
  <w:num w:numId="33">
    <w:abstractNumId w:val="3"/>
  </w:num>
  <w:num w:numId="34">
    <w:abstractNumId w:val="17"/>
  </w:num>
  <w:num w:numId="35">
    <w:abstractNumId w:val="4"/>
  </w:num>
  <w:num w:numId="36">
    <w:abstractNumId w:val="7"/>
  </w:num>
  <w:num w:numId="37">
    <w:abstractNumId w:val="13"/>
  </w:num>
  <w:num w:numId="38">
    <w:abstractNumId w:val="21"/>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footnotePr>
    <w:footnote w:id="-1"/>
    <w:footnote w:id="0"/>
  </w:footnotePr>
  <w:endnotePr>
    <w:endnote w:id="-1"/>
    <w:endnote w:id="0"/>
  </w:endnotePr>
  <w:compat/>
  <w:rsids>
    <w:rsidRoot w:val="00E1610F"/>
    <w:rsid w:val="00004B0E"/>
    <w:rsid w:val="000141B1"/>
    <w:rsid w:val="0001586C"/>
    <w:rsid w:val="00021AB8"/>
    <w:rsid w:val="00021E42"/>
    <w:rsid w:val="00024D0F"/>
    <w:rsid w:val="000321DC"/>
    <w:rsid w:val="0003637F"/>
    <w:rsid w:val="00036E81"/>
    <w:rsid w:val="00036FD3"/>
    <w:rsid w:val="00043A3B"/>
    <w:rsid w:val="000458FA"/>
    <w:rsid w:val="00046FF4"/>
    <w:rsid w:val="000555B2"/>
    <w:rsid w:val="00057941"/>
    <w:rsid w:val="00061F10"/>
    <w:rsid w:val="000744F8"/>
    <w:rsid w:val="000773B2"/>
    <w:rsid w:val="00087002"/>
    <w:rsid w:val="00090018"/>
    <w:rsid w:val="0009500E"/>
    <w:rsid w:val="00096EE7"/>
    <w:rsid w:val="000A37AC"/>
    <w:rsid w:val="000B600C"/>
    <w:rsid w:val="000C4885"/>
    <w:rsid w:val="000C6359"/>
    <w:rsid w:val="000E1816"/>
    <w:rsid w:val="000E1F81"/>
    <w:rsid w:val="000E21DF"/>
    <w:rsid w:val="000E264A"/>
    <w:rsid w:val="000E32A5"/>
    <w:rsid w:val="000E6711"/>
    <w:rsid w:val="000F29A6"/>
    <w:rsid w:val="000F32FB"/>
    <w:rsid w:val="000F6CBC"/>
    <w:rsid w:val="000F6EE4"/>
    <w:rsid w:val="00102737"/>
    <w:rsid w:val="00104710"/>
    <w:rsid w:val="001115AF"/>
    <w:rsid w:val="00113417"/>
    <w:rsid w:val="00117DB9"/>
    <w:rsid w:val="00127714"/>
    <w:rsid w:val="00135E5C"/>
    <w:rsid w:val="001367E9"/>
    <w:rsid w:val="001417C8"/>
    <w:rsid w:val="00143724"/>
    <w:rsid w:val="00151A9A"/>
    <w:rsid w:val="00153592"/>
    <w:rsid w:val="001704E3"/>
    <w:rsid w:val="00183158"/>
    <w:rsid w:val="001A02F3"/>
    <w:rsid w:val="001A31A9"/>
    <w:rsid w:val="001A4574"/>
    <w:rsid w:val="001B2E53"/>
    <w:rsid w:val="001D0B5E"/>
    <w:rsid w:val="001E1B86"/>
    <w:rsid w:val="001F0BF5"/>
    <w:rsid w:val="001F1590"/>
    <w:rsid w:val="001F4299"/>
    <w:rsid w:val="001F688B"/>
    <w:rsid w:val="002053AE"/>
    <w:rsid w:val="002078DE"/>
    <w:rsid w:val="002111E0"/>
    <w:rsid w:val="00212210"/>
    <w:rsid w:val="002209C8"/>
    <w:rsid w:val="00220E53"/>
    <w:rsid w:val="00222F0D"/>
    <w:rsid w:val="00231D8C"/>
    <w:rsid w:val="002352FF"/>
    <w:rsid w:val="002356B1"/>
    <w:rsid w:val="00236294"/>
    <w:rsid w:val="00251B64"/>
    <w:rsid w:val="00253E29"/>
    <w:rsid w:val="00260A1D"/>
    <w:rsid w:val="00261077"/>
    <w:rsid w:val="00262A82"/>
    <w:rsid w:val="00270AB2"/>
    <w:rsid w:val="00270FC1"/>
    <w:rsid w:val="00271257"/>
    <w:rsid w:val="00274BC1"/>
    <w:rsid w:val="00276D65"/>
    <w:rsid w:val="00286F8A"/>
    <w:rsid w:val="00290A9D"/>
    <w:rsid w:val="002928CF"/>
    <w:rsid w:val="002956D0"/>
    <w:rsid w:val="002A65CC"/>
    <w:rsid w:val="002A72AA"/>
    <w:rsid w:val="002B20D6"/>
    <w:rsid w:val="002B4021"/>
    <w:rsid w:val="002E54E6"/>
    <w:rsid w:val="002F15A6"/>
    <w:rsid w:val="002F54B0"/>
    <w:rsid w:val="002F7481"/>
    <w:rsid w:val="00300BEE"/>
    <w:rsid w:val="00305AF8"/>
    <w:rsid w:val="00305FAF"/>
    <w:rsid w:val="00310A91"/>
    <w:rsid w:val="003334D0"/>
    <w:rsid w:val="003556A2"/>
    <w:rsid w:val="00360F73"/>
    <w:rsid w:val="00362C08"/>
    <w:rsid w:val="00373825"/>
    <w:rsid w:val="00374361"/>
    <w:rsid w:val="003765BE"/>
    <w:rsid w:val="00377589"/>
    <w:rsid w:val="00382C05"/>
    <w:rsid w:val="00385891"/>
    <w:rsid w:val="003912E0"/>
    <w:rsid w:val="003A154F"/>
    <w:rsid w:val="003A29FE"/>
    <w:rsid w:val="003B5158"/>
    <w:rsid w:val="003C19D9"/>
    <w:rsid w:val="003C57BC"/>
    <w:rsid w:val="003D0704"/>
    <w:rsid w:val="003E409E"/>
    <w:rsid w:val="003E4E74"/>
    <w:rsid w:val="003F31C1"/>
    <w:rsid w:val="003F3492"/>
    <w:rsid w:val="003F3542"/>
    <w:rsid w:val="003F6922"/>
    <w:rsid w:val="004012D7"/>
    <w:rsid w:val="0040562D"/>
    <w:rsid w:val="0042189D"/>
    <w:rsid w:val="004227E5"/>
    <w:rsid w:val="00425E5B"/>
    <w:rsid w:val="004720A1"/>
    <w:rsid w:val="00492128"/>
    <w:rsid w:val="00495CE0"/>
    <w:rsid w:val="004A00D3"/>
    <w:rsid w:val="004A0EAE"/>
    <w:rsid w:val="004B0993"/>
    <w:rsid w:val="004B34C7"/>
    <w:rsid w:val="004B3AD2"/>
    <w:rsid w:val="004C1356"/>
    <w:rsid w:val="004C7A5A"/>
    <w:rsid w:val="004D16A7"/>
    <w:rsid w:val="004D28D9"/>
    <w:rsid w:val="004D316A"/>
    <w:rsid w:val="004D519C"/>
    <w:rsid w:val="004D6073"/>
    <w:rsid w:val="004E515D"/>
    <w:rsid w:val="004E67DE"/>
    <w:rsid w:val="00505640"/>
    <w:rsid w:val="00506541"/>
    <w:rsid w:val="00507786"/>
    <w:rsid w:val="0051472E"/>
    <w:rsid w:val="00517078"/>
    <w:rsid w:val="0052764C"/>
    <w:rsid w:val="00530602"/>
    <w:rsid w:val="00533E97"/>
    <w:rsid w:val="005346BD"/>
    <w:rsid w:val="005348F8"/>
    <w:rsid w:val="0053541A"/>
    <w:rsid w:val="0055062F"/>
    <w:rsid w:val="00565C98"/>
    <w:rsid w:val="00576231"/>
    <w:rsid w:val="0057794C"/>
    <w:rsid w:val="005967CA"/>
    <w:rsid w:val="005B7E7B"/>
    <w:rsid w:val="005C16E5"/>
    <w:rsid w:val="005C4C2F"/>
    <w:rsid w:val="005D019C"/>
    <w:rsid w:val="005D1166"/>
    <w:rsid w:val="005D17DB"/>
    <w:rsid w:val="005E0545"/>
    <w:rsid w:val="005E3F67"/>
    <w:rsid w:val="005F3188"/>
    <w:rsid w:val="005F384D"/>
    <w:rsid w:val="005F48A6"/>
    <w:rsid w:val="006018B8"/>
    <w:rsid w:val="00602A94"/>
    <w:rsid w:val="00614801"/>
    <w:rsid w:val="00630410"/>
    <w:rsid w:val="00637026"/>
    <w:rsid w:val="00651A3F"/>
    <w:rsid w:val="00655D84"/>
    <w:rsid w:val="0066513B"/>
    <w:rsid w:val="00670C72"/>
    <w:rsid w:val="0067380D"/>
    <w:rsid w:val="0067724B"/>
    <w:rsid w:val="00681969"/>
    <w:rsid w:val="00684F7E"/>
    <w:rsid w:val="00684F8A"/>
    <w:rsid w:val="00686AF9"/>
    <w:rsid w:val="00692020"/>
    <w:rsid w:val="00692BA1"/>
    <w:rsid w:val="006A1D6E"/>
    <w:rsid w:val="006A2D81"/>
    <w:rsid w:val="006A3624"/>
    <w:rsid w:val="006A6B56"/>
    <w:rsid w:val="006A7797"/>
    <w:rsid w:val="006B05E2"/>
    <w:rsid w:val="006B1CD3"/>
    <w:rsid w:val="006B5082"/>
    <w:rsid w:val="006D1A64"/>
    <w:rsid w:val="006D236F"/>
    <w:rsid w:val="006D7806"/>
    <w:rsid w:val="006F2271"/>
    <w:rsid w:val="006F5D88"/>
    <w:rsid w:val="006F62B7"/>
    <w:rsid w:val="00703B2E"/>
    <w:rsid w:val="0071131D"/>
    <w:rsid w:val="00713A2F"/>
    <w:rsid w:val="00714DFA"/>
    <w:rsid w:val="00722682"/>
    <w:rsid w:val="00723991"/>
    <w:rsid w:val="007308D1"/>
    <w:rsid w:val="007602A5"/>
    <w:rsid w:val="007778A6"/>
    <w:rsid w:val="00781314"/>
    <w:rsid w:val="0078525E"/>
    <w:rsid w:val="007852E6"/>
    <w:rsid w:val="007A2C26"/>
    <w:rsid w:val="007A3217"/>
    <w:rsid w:val="007A740E"/>
    <w:rsid w:val="007B0910"/>
    <w:rsid w:val="007C0D09"/>
    <w:rsid w:val="007C1CF7"/>
    <w:rsid w:val="007E247D"/>
    <w:rsid w:val="007E3707"/>
    <w:rsid w:val="007E3FE1"/>
    <w:rsid w:val="007F6E95"/>
    <w:rsid w:val="00804E12"/>
    <w:rsid w:val="008119D0"/>
    <w:rsid w:val="008124A5"/>
    <w:rsid w:val="00822CE3"/>
    <w:rsid w:val="0082652C"/>
    <w:rsid w:val="00842F19"/>
    <w:rsid w:val="00847999"/>
    <w:rsid w:val="00847F2F"/>
    <w:rsid w:val="0085053E"/>
    <w:rsid w:val="008539A3"/>
    <w:rsid w:val="008614FE"/>
    <w:rsid w:val="0086247B"/>
    <w:rsid w:val="00871C90"/>
    <w:rsid w:val="00877EB3"/>
    <w:rsid w:val="00885331"/>
    <w:rsid w:val="0089599F"/>
    <w:rsid w:val="008A05DE"/>
    <w:rsid w:val="008A3B7E"/>
    <w:rsid w:val="008A7A4A"/>
    <w:rsid w:val="008B2406"/>
    <w:rsid w:val="008B5C19"/>
    <w:rsid w:val="008C07CB"/>
    <w:rsid w:val="008C5EE9"/>
    <w:rsid w:val="008C6D8B"/>
    <w:rsid w:val="008C7A37"/>
    <w:rsid w:val="008E7D17"/>
    <w:rsid w:val="008F2A5D"/>
    <w:rsid w:val="009041AB"/>
    <w:rsid w:val="0091235E"/>
    <w:rsid w:val="00913241"/>
    <w:rsid w:val="00914EED"/>
    <w:rsid w:val="00925D50"/>
    <w:rsid w:val="00926827"/>
    <w:rsid w:val="009310BE"/>
    <w:rsid w:val="0093388D"/>
    <w:rsid w:val="00936F8D"/>
    <w:rsid w:val="009446FA"/>
    <w:rsid w:val="009458B8"/>
    <w:rsid w:val="00957552"/>
    <w:rsid w:val="0097364F"/>
    <w:rsid w:val="00973B79"/>
    <w:rsid w:val="00983535"/>
    <w:rsid w:val="0099197C"/>
    <w:rsid w:val="009926B5"/>
    <w:rsid w:val="00992AA4"/>
    <w:rsid w:val="00993310"/>
    <w:rsid w:val="00997F13"/>
    <w:rsid w:val="009A307C"/>
    <w:rsid w:val="009A7257"/>
    <w:rsid w:val="009A7629"/>
    <w:rsid w:val="009B217B"/>
    <w:rsid w:val="009B43A9"/>
    <w:rsid w:val="009C16E8"/>
    <w:rsid w:val="009C4FEE"/>
    <w:rsid w:val="009C6C12"/>
    <w:rsid w:val="009D147D"/>
    <w:rsid w:val="009D387C"/>
    <w:rsid w:val="009D44CB"/>
    <w:rsid w:val="009D46A2"/>
    <w:rsid w:val="009D67B5"/>
    <w:rsid w:val="009D6BF7"/>
    <w:rsid w:val="009D7338"/>
    <w:rsid w:val="009D7EF6"/>
    <w:rsid w:val="009E7D7E"/>
    <w:rsid w:val="009F18CB"/>
    <w:rsid w:val="009F3328"/>
    <w:rsid w:val="00A11DF3"/>
    <w:rsid w:val="00A11EE9"/>
    <w:rsid w:val="00A15220"/>
    <w:rsid w:val="00A20164"/>
    <w:rsid w:val="00A278B6"/>
    <w:rsid w:val="00A30A0F"/>
    <w:rsid w:val="00A43AE1"/>
    <w:rsid w:val="00A43EC8"/>
    <w:rsid w:val="00A460D1"/>
    <w:rsid w:val="00A72E88"/>
    <w:rsid w:val="00A756F5"/>
    <w:rsid w:val="00A81CB3"/>
    <w:rsid w:val="00A830E7"/>
    <w:rsid w:val="00A905BE"/>
    <w:rsid w:val="00A9490A"/>
    <w:rsid w:val="00A9738B"/>
    <w:rsid w:val="00AA18F5"/>
    <w:rsid w:val="00AA6631"/>
    <w:rsid w:val="00AB3AE7"/>
    <w:rsid w:val="00AB6592"/>
    <w:rsid w:val="00AC28F8"/>
    <w:rsid w:val="00AC3E1E"/>
    <w:rsid w:val="00AC58AE"/>
    <w:rsid w:val="00AE1436"/>
    <w:rsid w:val="00AE1698"/>
    <w:rsid w:val="00AE4535"/>
    <w:rsid w:val="00AE4EB4"/>
    <w:rsid w:val="00AF4DC5"/>
    <w:rsid w:val="00B00C2E"/>
    <w:rsid w:val="00B0354D"/>
    <w:rsid w:val="00B03597"/>
    <w:rsid w:val="00B051FB"/>
    <w:rsid w:val="00B10F88"/>
    <w:rsid w:val="00B31378"/>
    <w:rsid w:val="00B354F3"/>
    <w:rsid w:val="00B42353"/>
    <w:rsid w:val="00B44DD3"/>
    <w:rsid w:val="00B65DB1"/>
    <w:rsid w:val="00B66D52"/>
    <w:rsid w:val="00B73A82"/>
    <w:rsid w:val="00B85542"/>
    <w:rsid w:val="00B867AF"/>
    <w:rsid w:val="00B9030F"/>
    <w:rsid w:val="00B91721"/>
    <w:rsid w:val="00B95DEC"/>
    <w:rsid w:val="00B95F8A"/>
    <w:rsid w:val="00BA0CEE"/>
    <w:rsid w:val="00BA17AE"/>
    <w:rsid w:val="00BA59B6"/>
    <w:rsid w:val="00BB128D"/>
    <w:rsid w:val="00BB6AB5"/>
    <w:rsid w:val="00BC2F3F"/>
    <w:rsid w:val="00BC32AD"/>
    <w:rsid w:val="00BE2E4D"/>
    <w:rsid w:val="00BF0ACD"/>
    <w:rsid w:val="00C0389E"/>
    <w:rsid w:val="00C07935"/>
    <w:rsid w:val="00C11295"/>
    <w:rsid w:val="00C12983"/>
    <w:rsid w:val="00C146BB"/>
    <w:rsid w:val="00C31510"/>
    <w:rsid w:val="00C430DD"/>
    <w:rsid w:val="00C432A1"/>
    <w:rsid w:val="00C46A52"/>
    <w:rsid w:val="00C5406A"/>
    <w:rsid w:val="00C67BA1"/>
    <w:rsid w:val="00C71D44"/>
    <w:rsid w:val="00C85231"/>
    <w:rsid w:val="00C96593"/>
    <w:rsid w:val="00C97873"/>
    <w:rsid w:val="00CA1D47"/>
    <w:rsid w:val="00CA2018"/>
    <w:rsid w:val="00CA46BF"/>
    <w:rsid w:val="00CA56B4"/>
    <w:rsid w:val="00CB1A74"/>
    <w:rsid w:val="00CB346A"/>
    <w:rsid w:val="00CC147C"/>
    <w:rsid w:val="00CD75F7"/>
    <w:rsid w:val="00CE2625"/>
    <w:rsid w:val="00CE3884"/>
    <w:rsid w:val="00D01D45"/>
    <w:rsid w:val="00D05E54"/>
    <w:rsid w:val="00D1122E"/>
    <w:rsid w:val="00D14761"/>
    <w:rsid w:val="00D21858"/>
    <w:rsid w:val="00D2424B"/>
    <w:rsid w:val="00D37358"/>
    <w:rsid w:val="00D5328B"/>
    <w:rsid w:val="00D544A0"/>
    <w:rsid w:val="00D72CD7"/>
    <w:rsid w:val="00D7606E"/>
    <w:rsid w:val="00D80B19"/>
    <w:rsid w:val="00D81302"/>
    <w:rsid w:val="00D8247D"/>
    <w:rsid w:val="00D82AB0"/>
    <w:rsid w:val="00DA22BD"/>
    <w:rsid w:val="00DB09C7"/>
    <w:rsid w:val="00DB1AB0"/>
    <w:rsid w:val="00DB2BDF"/>
    <w:rsid w:val="00DB2ECB"/>
    <w:rsid w:val="00DB58DD"/>
    <w:rsid w:val="00DD04F4"/>
    <w:rsid w:val="00DD2D75"/>
    <w:rsid w:val="00DD52A6"/>
    <w:rsid w:val="00DF47F5"/>
    <w:rsid w:val="00DF4E4B"/>
    <w:rsid w:val="00E02A84"/>
    <w:rsid w:val="00E05F0F"/>
    <w:rsid w:val="00E062F3"/>
    <w:rsid w:val="00E07DB5"/>
    <w:rsid w:val="00E149A9"/>
    <w:rsid w:val="00E1610F"/>
    <w:rsid w:val="00E16B9F"/>
    <w:rsid w:val="00E22C5E"/>
    <w:rsid w:val="00E2545B"/>
    <w:rsid w:val="00E26869"/>
    <w:rsid w:val="00E27FAA"/>
    <w:rsid w:val="00E31F25"/>
    <w:rsid w:val="00E50968"/>
    <w:rsid w:val="00E51F2E"/>
    <w:rsid w:val="00E534D0"/>
    <w:rsid w:val="00E55A04"/>
    <w:rsid w:val="00E618DC"/>
    <w:rsid w:val="00E63AF7"/>
    <w:rsid w:val="00E679BC"/>
    <w:rsid w:val="00E70845"/>
    <w:rsid w:val="00E73E7E"/>
    <w:rsid w:val="00E83745"/>
    <w:rsid w:val="00E87C4F"/>
    <w:rsid w:val="00EA2097"/>
    <w:rsid w:val="00EA40D4"/>
    <w:rsid w:val="00EB2A2E"/>
    <w:rsid w:val="00ED0CE4"/>
    <w:rsid w:val="00ED4735"/>
    <w:rsid w:val="00EF5FED"/>
    <w:rsid w:val="00F00F93"/>
    <w:rsid w:val="00F1279F"/>
    <w:rsid w:val="00F13B46"/>
    <w:rsid w:val="00F17402"/>
    <w:rsid w:val="00F450D8"/>
    <w:rsid w:val="00F5600F"/>
    <w:rsid w:val="00F70A5A"/>
    <w:rsid w:val="00F70AAB"/>
    <w:rsid w:val="00F72728"/>
    <w:rsid w:val="00F753E6"/>
    <w:rsid w:val="00F76D3C"/>
    <w:rsid w:val="00F844CA"/>
    <w:rsid w:val="00F93AC8"/>
    <w:rsid w:val="00FA355E"/>
    <w:rsid w:val="00FB734E"/>
    <w:rsid w:val="00FB7EB8"/>
    <w:rsid w:val="00FE514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ch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b/>
      <w:caps/>
      <w:snapToGrid w:val="0"/>
      <w:color w:val="000000"/>
      <w:sz w:val="24"/>
      <w:szCs w:val="20"/>
      <w:lang w:val="en-GB"/>
    </w:rPr>
  </w:style>
  <w:style w:type="paragraph" w:styleId="Footer">
    <w:name w:val="footer"/>
    <w:link w:val="FooterChar"/>
    <w:rsid w:val="00F17402"/>
    <w:pPr>
      <w:tabs>
        <w:tab w:val="center" w:pos="4153"/>
        <w:tab w:val="right" w:pos="8306"/>
      </w:tabs>
      <w:jc w:val="right"/>
    </w:pPr>
    <w:rPr>
      <w:rFonts w:ascii="Arial Narrow" w:eastAsia="Times New Roman" w:hAnsi="Arial Narrow"/>
      <w:i/>
      <w:noProof/>
      <w:sz w:val="16"/>
      <w:lang w:val="en-GB" w:eastAsia="en-US"/>
    </w:rPr>
  </w:style>
  <w:style w:type="character" w:customStyle="1" w:styleId="FooterChar">
    <w:name w:val="Footer Char"/>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D84"/>
    <w:rPr>
      <w:rFonts w:ascii="Tahoma" w:eastAsia="MS Mincho"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link w:val="Header"/>
    <w:uiPriority w:val="99"/>
    <w:rsid w:val="00E149A9"/>
    <w:rPr>
      <w:rFonts w:eastAsia="MS Mincho"/>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MS Mincho"/>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2545439">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763C4-F303-4581-AEDE-AD5F5523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2017-03-16T14:13:00Z</cp:lastPrinted>
  <dcterms:created xsi:type="dcterms:W3CDTF">2017-04-10T13:25:00Z</dcterms:created>
  <dcterms:modified xsi:type="dcterms:W3CDTF">2017-04-10T13:25:00Z</dcterms:modified>
</cp:coreProperties>
</file>