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3B5F31"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6E4C45">
        <w:rPr>
          <w:b/>
          <w:sz w:val="24"/>
          <w:szCs w:val="24"/>
        </w:rPr>
        <w:t>503</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B9254E" w:rsidRPr="0055709D">
        <w:rPr>
          <w:b/>
          <w:sz w:val="24"/>
          <w:szCs w:val="24"/>
        </w:rPr>
        <w:t xml:space="preserve">: </w:t>
      </w:r>
      <w:r w:rsidR="006829A9">
        <w:rPr>
          <w:b/>
          <w:sz w:val="24"/>
          <w:szCs w:val="24"/>
        </w:rPr>
        <w:t>20</w:t>
      </w:r>
      <w:r w:rsidR="00B9254E">
        <w:rPr>
          <w:b/>
          <w:sz w:val="24"/>
          <w:szCs w:val="24"/>
        </w:rPr>
        <w:t xml:space="preserve"> MARCH 2020</w:t>
      </w:r>
    </w:p>
    <w:p w:rsidR="00B177C5" w:rsidRDefault="00B177C5" w:rsidP="00B177C5">
      <w:pPr>
        <w:rPr>
          <w:b/>
          <w:sz w:val="24"/>
          <w:szCs w:val="24"/>
        </w:rPr>
      </w:pPr>
    </w:p>
    <w:p w:rsidR="006E4C45" w:rsidRPr="00B11941" w:rsidRDefault="006E4C45" w:rsidP="006E4C45">
      <w:pPr>
        <w:spacing w:before="100" w:beforeAutospacing="1" w:after="100" w:afterAutospacing="1"/>
        <w:ind w:left="720" w:hanging="720"/>
        <w:jc w:val="both"/>
        <w:outlineLvl w:val="0"/>
        <w:rPr>
          <w:sz w:val="24"/>
          <w:szCs w:val="24"/>
        </w:rPr>
      </w:pPr>
      <w:r w:rsidRPr="00B11941">
        <w:rPr>
          <w:b/>
          <w:sz w:val="24"/>
          <w:szCs w:val="24"/>
        </w:rPr>
        <w:t xml:space="preserve">Mr M </w:t>
      </w:r>
      <w:r w:rsidRPr="00B11941">
        <w:rPr>
          <w:b/>
          <w:noProof/>
          <w:sz w:val="24"/>
          <w:szCs w:val="24"/>
        </w:rPr>
        <w:t>Bagraim</w:t>
      </w:r>
      <w:r w:rsidRPr="00B11941">
        <w:rPr>
          <w:b/>
          <w:sz w:val="24"/>
          <w:szCs w:val="24"/>
        </w:rPr>
        <w:t xml:space="preserve"> (DA) to ask the Minister of Human Settlements, Water and Sanitation</w:t>
      </w:r>
      <w:r>
        <w:rPr>
          <w:b/>
          <w:sz w:val="24"/>
          <w:szCs w:val="24"/>
        </w:rPr>
        <w:fldChar w:fldCharType="begin"/>
      </w:r>
      <w:r>
        <w:instrText xml:space="preserve"> XE "</w:instrText>
      </w:r>
      <w:r w:rsidRPr="001946B7">
        <w:rPr>
          <w:b/>
          <w:sz w:val="24"/>
          <w:szCs w:val="24"/>
        </w:rPr>
        <w:instrText>Human Settlements, Water and Sanitation</w:instrText>
      </w:r>
      <w:r>
        <w:instrText xml:space="preserve">" </w:instrText>
      </w:r>
      <w:r>
        <w:rPr>
          <w:b/>
          <w:sz w:val="24"/>
          <w:szCs w:val="24"/>
        </w:rPr>
        <w:fldChar w:fldCharType="end"/>
      </w:r>
      <w:r w:rsidRPr="00B11941">
        <w:rPr>
          <w:b/>
          <w:sz w:val="24"/>
          <w:szCs w:val="24"/>
        </w:rPr>
        <w:t>:</w:t>
      </w:r>
    </w:p>
    <w:p w:rsidR="006E4C45" w:rsidRPr="00B11941" w:rsidRDefault="006E4C45" w:rsidP="00F8613A">
      <w:pPr>
        <w:spacing w:line="320" w:lineRule="atLeast"/>
        <w:jc w:val="both"/>
        <w:outlineLvl w:val="0"/>
      </w:pPr>
      <w:r w:rsidRPr="00B11941">
        <w:rPr>
          <w:color w:val="212121"/>
          <w:sz w:val="24"/>
          <w:szCs w:val="24"/>
          <w:lang w:eastAsia="en-ZA"/>
        </w:rPr>
        <w:t>(a) To whom did her department allocate the houses and sites at Mqhaka Northleigh Farm commonly known as Marikana, (b) what was the tender allocation procedure followed to build houses in Northleigh Farm, (c) was there a Council resolution that her department relied on to build houses at Northleigh Farm, (d) who made the decision that the land should be sold, given the fact that no land could be sold according to a council decision, (e) for what total amount was each piece of land sold to the community and the veterans and (f) was there a certificate of occupation furnished before the occupation of the houses</w:t>
      </w:r>
      <w:r w:rsidRPr="00B11941">
        <w:rPr>
          <w:color w:val="000000"/>
          <w:sz w:val="24"/>
          <w:szCs w:val="24"/>
          <w:lang w:eastAsia="en-ZA"/>
        </w:rPr>
        <w:t>?</w:t>
      </w:r>
      <w:r w:rsidRPr="006E4C45">
        <w:rPr>
          <w:color w:val="000000"/>
          <w:sz w:val="24"/>
          <w:szCs w:val="24"/>
        </w:rPr>
        <w:tab/>
      </w:r>
      <w:r w:rsidRPr="006E4C45">
        <w:rPr>
          <w:color w:val="000000"/>
          <w:sz w:val="24"/>
          <w:szCs w:val="24"/>
        </w:rPr>
        <w:tab/>
      </w:r>
      <w:r w:rsidRPr="006E4C45">
        <w:rPr>
          <w:color w:val="000000"/>
          <w:sz w:val="24"/>
          <w:szCs w:val="24"/>
        </w:rPr>
        <w:tab/>
      </w:r>
      <w:r w:rsidRPr="006E4C45">
        <w:rPr>
          <w:color w:val="000000"/>
          <w:sz w:val="24"/>
          <w:szCs w:val="24"/>
        </w:rPr>
        <w:tab/>
      </w:r>
      <w:r w:rsidRPr="006E4C45">
        <w:rPr>
          <w:color w:val="000000"/>
          <w:sz w:val="24"/>
          <w:szCs w:val="24"/>
        </w:rPr>
        <w:tab/>
      </w:r>
      <w:r w:rsidRPr="006E4C45">
        <w:rPr>
          <w:color w:val="000000"/>
          <w:sz w:val="24"/>
          <w:szCs w:val="24"/>
        </w:rPr>
        <w:tab/>
      </w:r>
      <w:r w:rsidRPr="006E4C45">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6E4C45">
        <w:rPr>
          <w:color w:val="000000"/>
        </w:rPr>
        <w:t>NW689E</w:t>
      </w:r>
    </w:p>
    <w:p w:rsidR="00625C70" w:rsidRDefault="00625C70"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F8613A" w:rsidRPr="005A48E4" w:rsidRDefault="00C54938" w:rsidP="002B35E0">
      <w:pPr>
        <w:spacing w:line="320" w:lineRule="atLeast"/>
        <w:ind w:left="720" w:hanging="660"/>
        <w:jc w:val="both"/>
        <w:rPr>
          <w:b/>
          <w:sz w:val="24"/>
          <w:szCs w:val="24"/>
        </w:rPr>
      </w:pPr>
      <w:r>
        <w:rPr>
          <w:rFonts w:ascii="Arial" w:hAnsi="Arial" w:cs="Arial"/>
          <w:color w:val="212121"/>
          <w:lang w:eastAsia="en-ZA"/>
        </w:rPr>
        <w:t xml:space="preserve">(a) </w:t>
      </w:r>
      <w:r>
        <w:rPr>
          <w:rFonts w:ascii="Arial" w:hAnsi="Arial" w:cs="Arial"/>
          <w:color w:val="212121"/>
          <w:lang w:eastAsia="en-ZA"/>
        </w:rPr>
        <w:tab/>
      </w:r>
      <w:r w:rsidR="00F8613A" w:rsidRPr="005A48E4">
        <w:rPr>
          <w:sz w:val="24"/>
          <w:szCs w:val="24"/>
          <w:lang w:val="en-ZA"/>
        </w:rPr>
        <w:t>Honourable Member, in accordance with the established practise applicable to parliamentary questions contained in the document</w:t>
      </w:r>
      <w:r w:rsidR="00F8613A" w:rsidRPr="005A48E4">
        <w:rPr>
          <w:sz w:val="24"/>
          <w:szCs w:val="24"/>
        </w:rPr>
        <w:t xml:space="preserve"> titled, </w:t>
      </w:r>
      <w:r w:rsidR="00F8613A" w:rsidRPr="005A48E4">
        <w:rPr>
          <w:i/>
          <w:sz w:val="24"/>
          <w:szCs w:val="24"/>
        </w:rPr>
        <w:t xml:space="preserve">“Guide to Parliamentary Questions in the National Assembly”, </w:t>
      </w:r>
      <w:r w:rsidR="00F8613A" w:rsidRPr="005A48E4">
        <w:rPr>
          <w:sz w:val="24"/>
          <w:szCs w:val="24"/>
        </w:rPr>
        <w:t xml:space="preserve">I will not </w:t>
      </w:r>
      <w:r w:rsidR="00F8613A">
        <w:rPr>
          <w:sz w:val="24"/>
          <w:szCs w:val="24"/>
        </w:rPr>
        <w:t xml:space="preserve">be able to </w:t>
      </w:r>
      <w:r w:rsidR="00F8613A" w:rsidRPr="005A48E4">
        <w:rPr>
          <w:sz w:val="24"/>
          <w:szCs w:val="24"/>
        </w:rPr>
        <w:t xml:space="preserve">provide names of </w:t>
      </w:r>
      <w:r w:rsidR="002B35E0">
        <w:rPr>
          <w:sz w:val="24"/>
          <w:szCs w:val="24"/>
        </w:rPr>
        <w:t xml:space="preserve">people who were allocated houses and sites </w:t>
      </w:r>
      <w:r w:rsidR="00F8613A">
        <w:rPr>
          <w:sz w:val="24"/>
          <w:szCs w:val="24"/>
        </w:rPr>
        <w:t>as requested.</w:t>
      </w:r>
      <w:r w:rsidR="00F8613A" w:rsidRPr="00686CA3">
        <w:rPr>
          <w:sz w:val="24"/>
          <w:szCs w:val="24"/>
        </w:rPr>
        <w:t xml:space="preserve"> </w:t>
      </w:r>
      <w:r w:rsidR="00F8613A" w:rsidRPr="005A48E4">
        <w:rPr>
          <w:sz w:val="24"/>
          <w:szCs w:val="24"/>
        </w:rPr>
        <w:t xml:space="preserve">The document referred to prohibits Members of Parliament, including the Executive, from </w:t>
      </w:r>
      <w:r w:rsidR="00F8613A" w:rsidRPr="005A48E4">
        <w:rPr>
          <w:i/>
          <w:sz w:val="24"/>
          <w:szCs w:val="24"/>
        </w:rPr>
        <w:t>divulging</w:t>
      </w:r>
      <w:r w:rsidR="00F8613A" w:rsidRPr="005A48E4">
        <w:rPr>
          <w:sz w:val="24"/>
          <w:szCs w:val="24"/>
        </w:rPr>
        <w:t xml:space="preserve"> names of persons, bodies when asking or responding to parliamentary questions.   </w:t>
      </w:r>
      <w:r w:rsidR="00F8613A">
        <w:rPr>
          <w:sz w:val="24"/>
          <w:szCs w:val="24"/>
        </w:rPr>
        <w:t xml:space="preserve">It specifically </w:t>
      </w:r>
      <w:r w:rsidR="00F8613A" w:rsidRPr="005A48E4">
        <w:rPr>
          <w:sz w:val="24"/>
          <w:szCs w:val="24"/>
        </w:rPr>
        <w:t>states the following:</w:t>
      </w:r>
    </w:p>
    <w:p w:rsidR="00F8613A" w:rsidRDefault="00F8613A" w:rsidP="002B35E0">
      <w:pPr>
        <w:tabs>
          <w:tab w:val="left" w:pos="2390"/>
        </w:tabs>
        <w:spacing w:line="320" w:lineRule="atLeast"/>
        <w:ind w:left="720"/>
        <w:rPr>
          <w:b/>
          <w:sz w:val="24"/>
          <w:szCs w:val="24"/>
        </w:rPr>
      </w:pPr>
      <w:r>
        <w:rPr>
          <w:b/>
          <w:sz w:val="24"/>
          <w:szCs w:val="24"/>
        </w:rPr>
        <w:tab/>
      </w:r>
    </w:p>
    <w:p w:rsidR="00F8613A" w:rsidRPr="00142F8E" w:rsidRDefault="00F8613A" w:rsidP="002B35E0">
      <w:pPr>
        <w:spacing w:line="320" w:lineRule="atLeast"/>
        <w:ind w:left="720"/>
        <w:rPr>
          <w:b/>
          <w:i/>
          <w:sz w:val="24"/>
          <w:szCs w:val="24"/>
        </w:rPr>
      </w:pPr>
      <w:r w:rsidRPr="00142F8E">
        <w:rPr>
          <w:b/>
          <w:i/>
          <w:sz w:val="24"/>
          <w:szCs w:val="24"/>
        </w:rPr>
        <w:t>“</w:t>
      </w:r>
      <w:r w:rsidRPr="00142F8E">
        <w:rPr>
          <w:i/>
          <w:sz w:val="24"/>
          <w:szCs w:val="24"/>
        </w:rPr>
        <w:t xml:space="preserve">Questions are to be framed as concisely as possible. All unnecessary adjectives, references and quotations are omitted. </w:t>
      </w:r>
      <w:r w:rsidRPr="00142F8E">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142F8E">
        <w:rPr>
          <w:i/>
          <w:sz w:val="24"/>
          <w:szCs w:val="24"/>
        </w:rPr>
        <w:t xml:space="preserve">If a question will be unintelligible without mentioning such names, the Departments concerned are notified of the name (-s) and this phrase is used:   </w:t>
      </w:r>
      <w:r w:rsidRPr="00142F8E">
        <w:rPr>
          <w:b/>
          <w:i/>
          <w:sz w:val="24"/>
          <w:szCs w:val="24"/>
        </w:rPr>
        <w:t>".......a certain person (name furnished)”</w:t>
      </w:r>
    </w:p>
    <w:p w:rsidR="00F8613A" w:rsidRPr="002B35E0" w:rsidRDefault="00F8613A" w:rsidP="00C54938">
      <w:pPr>
        <w:pStyle w:val="ListParagraph"/>
        <w:spacing w:line="336" w:lineRule="auto"/>
        <w:ind w:hanging="720"/>
        <w:jc w:val="both"/>
        <w:rPr>
          <w:color w:val="212121"/>
          <w:lang w:eastAsia="en-ZA"/>
        </w:rPr>
      </w:pPr>
    </w:p>
    <w:p w:rsidR="001C4AD4" w:rsidRPr="002B35E0" w:rsidRDefault="002B35E0" w:rsidP="002B35E0">
      <w:pPr>
        <w:pStyle w:val="ListParagraph"/>
        <w:spacing w:after="160" w:line="320" w:lineRule="atLeast"/>
        <w:ind w:hanging="720"/>
        <w:jc w:val="both"/>
        <w:rPr>
          <w:color w:val="212121"/>
          <w:lang w:val="en-GB" w:eastAsia="en-ZA"/>
        </w:rPr>
      </w:pPr>
      <w:r w:rsidRPr="002B35E0">
        <w:rPr>
          <w:color w:val="212121"/>
          <w:lang w:val="en-GB" w:eastAsia="en-ZA"/>
        </w:rPr>
        <w:t>(b)</w:t>
      </w:r>
      <w:r w:rsidRPr="002B35E0">
        <w:rPr>
          <w:color w:val="212121"/>
          <w:lang w:val="en-GB" w:eastAsia="en-ZA"/>
        </w:rPr>
        <w:tab/>
      </w:r>
      <w:r w:rsidR="001C4AD4" w:rsidRPr="002B35E0">
        <w:rPr>
          <w:color w:val="212121"/>
          <w:lang w:val="en-GB" w:eastAsia="en-ZA"/>
        </w:rPr>
        <w:t xml:space="preserve">In terms of section 7(3) (a) of the Housing Act, 107 of 1997, the MEC is empowered to approve a project and determine the funding to be allocated for it. </w:t>
      </w:r>
    </w:p>
    <w:p w:rsidR="001C4AD4" w:rsidRPr="002B35E0" w:rsidRDefault="001C4AD4" w:rsidP="002B35E0">
      <w:pPr>
        <w:pStyle w:val="ListParagraph"/>
        <w:spacing w:line="320" w:lineRule="atLeast"/>
        <w:rPr>
          <w:color w:val="212121"/>
          <w:lang w:val="en-GB" w:eastAsia="en-ZA"/>
        </w:rPr>
      </w:pPr>
    </w:p>
    <w:p w:rsidR="001C4AD4" w:rsidRPr="002B35E0" w:rsidRDefault="002B35E0" w:rsidP="002B35E0">
      <w:pPr>
        <w:pStyle w:val="ListParagraph"/>
        <w:spacing w:before="100" w:beforeAutospacing="1" w:after="100" w:afterAutospacing="1" w:line="320" w:lineRule="atLeast"/>
        <w:ind w:hanging="720"/>
        <w:jc w:val="both"/>
        <w:outlineLvl w:val="0"/>
        <w:rPr>
          <w:color w:val="212121"/>
          <w:lang w:eastAsia="en-ZA"/>
        </w:rPr>
      </w:pPr>
      <w:r w:rsidRPr="002B35E0">
        <w:rPr>
          <w:color w:val="212121"/>
          <w:lang w:eastAsia="en-ZA"/>
        </w:rPr>
        <w:t>(c)</w:t>
      </w:r>
      <w:r w:rsidRPr="002B35E0">
        <w:rPr>
          <w:color w:val="212121"/>
          <w:lang w:eastAsia="en-ZA"/>
        </w:rPr>
        <w:tab/>
      </w:r>
      <w:r w:rsidR="001C4AD4" w:rsidRPr="002B35E0">
        <w:rPr>
          <w:color w:val="212121"/>
          <w:lang w:eastAsia="en-ZA"/>
        </w:rPr>
        <w:t>There was no Council resolution for the construction of the houses at Northleigh Farm. However, during 2010, the Free State Provincial Department of Human Settlements had entered into a Memorandum of Understanding with Moqhaka Local Municipality for the construction of infrastructure installation for 2900 erven in Northleigh Farm.</w:t>
      </w:r>
    </w:p>
    <w:p w:rsidR="001C4AD4" w:rsidRPr="002B35E0" w:rsidRDefault="001C4AD4" w:rsidP="002B35E0">
      <w:pPr>
        <w:pStyle w:val="ListParagraph"/>
        <w:spacing w:line="320" w:lineRule="atLeast"/>
        <w:jc w:val="both"/>
        <w:rPr>
          <w:color w:val="212121"/>
          <w:lang w:eastAsia="en-ZA"/>
        </w:rPr>
      </w:pPr>
    </w:p>
    <w:p w:rsidR="001C4AD4" w:rsidRPr="002B35E0" w:rsidRDefault="002B35E0" w:rsidP="002B35E0">
      <w:pPr>
        <w:pStyle w:val="ListParagraph"/>
        <w:spacing w:after="160" w:line="320" w:lineRule="atLeast"/>
        <w:ind w:hanging="720"/>
        <w:jc w:val="both"/>
        <w:rPr>
          <w:color w:val="212121"/>
          <w:lang w:eastAsia="en-ZA"/>
        </w:rPr>
      </w:pPr>
      <w:r w:rsidRPr="002B35E0">
        <w:rPr>
          <w:color w:val="212121"/>
          <w:lang w:eastAsia="en-ZA"/>
        </w:rPr>
        <w:t xml:space="preserve">(d) </w:t>
      </w:r>
      <w:r w:rsidRPr="002B35E0">
        <w:rPr>
          <w:color w:val="212121"/>
          <w:lang w:eastAsia="en-ZA"/>
        </w:rPr>
        <w:tab/>
      </w:r>
      <w:r>
        <w:rPr>
          <w:color w:val="212121"/>
          <w:lang w:eastAsia="en-ZA"/>
        </w:rPr>
        <w:t xml:space="preserve">I have been informed that the </w:t>
      </w:r>
      <w:r w:rsidR="001C4AD4" w:rsidRPr="002B35E0">
        <w:rPr>
          <w:color w:val="212121"/>
          <w:lang w:eastAsia="en-ZA"/>
        </w:rPr>
        <w:t>Moqhaka Local Municipality did not sell any land for the development of the housing project.</w:t>
      </w:r>
    </w:p>
    <w:p w:rsidR="001C4AD4" w:rsidRPr="002B35E0" w:rsidRDefault="001C4AD4" w:rsidP="002B35E0">
      <w:pPr>
        <w:pStyle w:val="ListParagraph"/>
        <w:spacing w:line="320" w:lineRule="atLeast"/>
        <w:rPr>
          <w:color w:val="212121"/>
          <w:lang w:eastAsia="en-ZA"/>
        </w:rPr>
      </w:pPr>
    </w:p>
    <w:p w:rsidR="001C4AD4" w:rsidRPr="002B35E0" w:rsidRDefault="002B35E0" w:rsidP="002B35E0">
      <w:pPr>
        <w:pStyle w:val="ListParagraph"/>
        <w:spacing w:before="100" w:beforeAutospacing="1" w:after="100" w:afterAutospacing="1" w:line="320" w:lineRule="atLeast"/>
        <w:ind w:left="0"/>
        <w:jc w:val="both"/>
        <w:outlineLvl w:val="0"/>
        <w:rPr>
          <w:color w:val="212121"/>
          <w:lang w:eastAsia="en-ZA"/>
        </w:rPr>
      </w:pPr>
      <w:r w:rsidRPr="002B35E0">
        <w:rPr>
          <w:color w:val="212121"/>
          <w:lang w:eastAsia="en-ZA"/>
        </w:rPr>
        <w:t>(e)</w:t>
      </w:r>
      <w:r w:rsidRPr="002B35E0">
        <w:rPr>
          <w:color w:val="212121"/>
          <w:lang w:eastAsia="en-ZA"/>
        </w:rPr>
        <w:tab/>
      </w:r>
      <w:r>
        <w:rPr>
          <w:color w:val="212121"/>
          <w:lang w:eastAsia="en-ZA"/>
        </w:rPr>
        <w:t xml:space="preserve">Falls away. </w:t>
      </w:r>
      <w:r w:rsidR="001C4AD4" w:rsidRPr="002B35E0">
        <w:rPr>
          <w:color w:val="212121"/>
          <w:lang w:eastAsia="en-ZA"/>
        </w:rPr>
        <w:t xml:space="preserve"> </w:t>
      </w:r>
    </w:p>
    <w:p w:rsidR="001C4AD4" w:rsidRPr="002B35E0" w:rsidRDefault="001C4AD4" w:rsidP="002B35E0">
      <w:pPr>
        <w:pStyle w:val="ListParagraph"/>
        <w:spacing w:line="320" w:lineRule="atLeast"/>
        <w:rPr>
          <w:color w:val="212121"/>
          <w:lang w:eastAsia="en-ZA"/>
        </w:rPr>
      </w:pPr>
    </w:p>
    <w:p w:rsidR="001C4AD4" w:rsidRPr="002B35E0" w:rsidRDefault="002B35E0" w:rsidP="002B35E0">
      <w:pPr>
        <w:pStyle w:val="ListParagraph"/>
        <w:spacing w:before="100" w:beforeAutospacing="1" w:after="100" w:afterAutospacing="1" w:line="320" w:lineRule="atLeast"/>
        <w:ind w:hanging="720"/>
        <w:jc w:val="both"/>
        <w:outlineLvl w:val="0"/>
        <w:rPr>
          <w:color w:val="212121"/>
          <w:lang w:eastAsia="en-ZA"/>
        </w:rPr>
      </w:pPr>
      <w:r w:rsidRPr="002B35E0">
        <w:rPr>
          <w:color w:val="000000"/>
          <w:lang w:eastAsia="en-ZA"/>
        </w:rPr>
        <w:t>(f)</w:t>
      </w:r>
      <w:r w:rsidRPr="002B35E0">
        <w:rPr>
          <w:color w:val="000000"/>
          <w:lang w:eastAsia="en-ZA"/>
        </w:rPr>
        <w:tab/>
      </w:r>
      <w:r w:rsidR="001C4AD4" w:rsidRPr="002B35E0">
        <w:rPr>
          <w:color w:val="000000"/>
          <w:lang w:eastAsia="en-ZA"/>
        </w:rPr>
        <w:t>Occupation Certificates (also known as happy letters) were issued and signed by beneficiaries before they took occupation of the houses.</w:t>
      </w:r>
      <w:r w:rsidR="001C4AD4" w:rsidRPr="002B35E0">
        <w:rPr>
          <w:color w:val="212121"/>
          <w:lang w:eastAsia="en-ZA"/>
        </w:rPr>
        <w:t xml:space="preserve"> </w:t>
      </w:r>
    </w:p>
    <w:p w:rsidR="001C4AD4" w:rsidRPr="001C4AD4" w:rsidRDefault="001C4AD4" w:rsidP="002E18F1">
      <w:pPr>
        <w:spacing w:line="336" w:lineRule="auto"/>
        <w:ind w:left="720" w:hanging="720"/>
        <w:jc w:val="both"/>
        <w:rPr>
          <w:sz w:val="24"/>
          <w:szCs w:val="24"/>
        </w:rPr>
      </w:pPr>
    </w:p>
    <w:p w:rsidR="006829A9" w:rsidRDefault="006829A9" w:rsidP="002E18F1">
      <w:pPr>
        <w:spacing w:line="336" w:lineRule="auto"/>
        <w:ind w:left="720" w:hanging="720"/>
        <w:jc w:val="both"/>
        <w:rPr>
          <w:b/>
          <w:sz w:val="24"/>
          <w:szCs w:val="24"/>
        </w:rPr>
      </w:pPr>
    </w:p>
    <w:sectPr w:rsidR="006829A9"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68" w:rsidRDefault="00B41B68" w:rsidP="00054FEC">
      <w:r>
        <w:separator/>
      </w:r>
    </w:p>
  </w:endnote>
  <w:endnote w:type="continuationSeparator" w:id="0">
    <w:p w:rsidR="00B41B68" w:rsidRDefault="00B41B68"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68" w:rsidRDefault="00B41B68" w:rsidP="00054FEC">
      <w:r>
        <w:separator/>
      </w:r>
    </w:p>
  </w:footnote>
  <w:footnote w:type="continuationSeparator" w:id="0">
    <w:p w:rsidR="00B41B68" w:rsidRDefault="00B41B68"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6E4C45">
      <w:t>503</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01D2C80"/>
    <w:multiLevelType w:val="hybridMultilevel"/>
    <w:tmpl w:val="358EF1BC"/>
    <w:lvl w:ilvl="0" w:tplc="5B3A58A8">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4AD4"/>
    <w:rsid w:val="001C51E0"/>
    <w:rsid w:val="001C6CDB"/>
    <w:rsid w:val="001D4562"/>
    <w:rsid w:val="001D6619"/>
    <w:rsid w:val="001E0319"/>
    <w:rsid w:val="001E1A97"/>
    <w:rsid w:val="001E587F"/>
    <w:rsid w:val="001E77A7"/>
    <w:rsid w:val="001F17FC"/>
    <w:rsid w:val="001F31E6"/>
    <w:rsid w:val="00203262"/>
    <w:rsid w:val="00211743"/>
    <w:rsid w:val="002174E7"/>
    <w:rsid w:val="002203F2"/>
    <w:rsid w:val="00221ABD"/>
    <w:rsid w:val="00221CAF"/>
    <w:rsid w:val="00221F1C"/>
    <w:rsid w:val="00226DA4"/>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35E0"/>
    <w:rsid w:val="002B6CA3"/>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A16"/>
    <w:rsid w:val="00391B22"/>
    <w:rsid w:val="00392A4A"/>
    <w:rsid w:val="003942F2"/>
    <w:rsid w:val="00397799"/>
    <w:rsid w:val="003A0C97"/>
    <w:rsid w:val="003A48E1"/>
    <w:rsid w:val="003B5F31"/>
    <w:rsid w:val="003B7EF6"/>
    <w:rsid w:val="003D1E57"/>
    <w:rsid w:val="003F3285"/>
    <w:rsid w:val="003F3D4B"/>
    <w:rsid w:val="003F40BD"/>
    <w:rsid w:val="003F4CED"/>
    <w:rsid w:val="003F5497"/>
    <w:rsid w:val="003F7899"/>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55A2"/>
    <w:rsid w:val="004A7396"/>
    <w:rsid w:val="004B54E9"/>
    <w:rsid w:val="004C34F2"/>
    <w:rsid w:val="004C62A2"/>
    <w:rsid w:val="004C7102"/>
    <w:rsid w:val="004E1009"/>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25C70"/>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E4C45"/>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C76B6"/>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4574"/>
    <w:rsid w:val="00956F9C"/>
    <w:rsid w:val="009604A6"/>
    <w:rsid w:val="00967EE8"/>
    <w:rsid w:val="0097050B"/>
    <w:rsid w:val="00971CE4"/>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68"/>
    <w:rsid w:val="00B41BED"/>
    <w:rsid w:val="00B43005"/>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6C28"/>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4938"/>
    <w:rsid w:val="00C576FE"/>
    <w:rsid w:val="00C57AC2"/>
    <w:rsid w:val="00C72BD9"/>
    <w:rsid w:val="00C74E11"/>
    <w:rsid w:val="00C83019"/>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0BCE"/>
    <w:rsid w:val="00D456EE"/>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8613A"/>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A8D054-C899-4C0C-90A0-FDFFF54B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2020-06-25T16:45:00Z</dcterms:created>
  <dcterms:modified xsi:type="dcterms:W3CDTF">2020-06-25T16:45:00Z</dcterms:modified>
</cp:coreProperties>
</file>