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345819">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345819" w:rsidP="0034581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345819" w:rsidP="0034581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4317E">
        <w:rPr>
          <w:rFonts w:ascii="Arial" w:eastAsia="Calibri" w:hAnsi="Arial" w:cs="Arial"/>
          <w:b/>
          <w:bCs/>
          <w:lang w:val="en-GB"/>
        </w:rPr>
        <w:t>500</w:t>
      </w:r>
    </w:p>
    <w:p w:rsidR="00130BDB" w:rsidRPr="00345819" w:rsidRDefault="00130BDB" w:rsidP="00345819">
      <w:pPr>
        <w:spacing w:after="200" w:line="276" w:lineRule="auto"/>
        <w:rPr>
          <w:rFonts w:ascii="Arial" w:eastAsia="Calibri" w:hAnsi="Arial" w:cs="Arial"/>
          <w:b/>
          <w:bCs/>
          <w:lang w:val="en-GB"/>
        </w:rPr>
      </w:pPr>
      <w:r w:rsidRPr="00345819">
        <w:rPr>
          <w:rFonts w:ascii="Arial" w:eastAsia="Calibri" w:hAnsi="Arial" w:cs="Arial"/>
          <w:b/>
          <w:bCs/>
          <w:lang w:val="en-GB"/>
        </w:rPr>
        <w:t xml:space="preserve">DATE OF  QUESTION: </w:t>
      </w:r>
      <w:r w:rsidR="00E361D7" w:rsidRPr="00345819">
        <w:rPr>
          <w:rFonts w:ascii="Arial" w:eastAsia="Calibri" w:hAnsi="Arial" w:cs="Arial"/>
          <w:b/>
          <w:bCs/>
          <w:lang w:val="en-GB"/>
        </w:rPr>
        <w:t>20</w:t>
      </w:r>
      <w:r w:rsidR="00345819" w:rsidRPr="00345819">
        <w:rPr>
          <w:rFonts w:ascii="Arial" w:eastAsia="Calibri" w:hAnsi="Arial" w:cs="Arial"/>
          <w:b/>
          <w:bCs/>
          <w:lang w:val="en-GB"/>
        </w:rPr>
        <w:t xml:space="preserve"> MARCH </w:t>
      </w:r>
      <w:r w:rsidRPr="00345819">
        <w:rPr>
          <w:rFonts w:ascii="Arial" w:eastAsia="Calibri" w:hAnsi="Arial" w:cs="Arial"/>
          <w:b/>
          <w:bCs/>
          <w:lang w:val="en-GB"/>
        </w:rPr>
        <w:t>20</w:t>
      </w:r>
      <w:r w:rsidR="003F2E8D" w:rsidRPr="00345819">
        <w:rPr>
          <w:rFonts w:ascii="Arial" w:eastAsia="Calibri" w:hAnsi="Arial" w:cs="Arial"/>
          <w:b/>
          <w:bCs/>
          <w:lang w:val="en-GB"/>
        </w:rPr>
        <w:t>20</w:t>
      </w:r>
    </w:p>
    <w:p w:rsidR="00130BDB" w:rsidRPr="00345819" w:rsidRDefault="00130BDB" w:rsidP="00345819">
      <w:pPr>
        <w:spacing w:before="100" w:beforeAutospacing="1" w:after="100" w:afterAutospacing="1" w:line="276" w:lineRule="auto"/>
        <w:outlineLvl w:val="0"/>
        <w:rPr>
          <w:rFonts w:ascii="Arial" w:eastAsia="Calibri" w:hAnsi="Arial" w:cs="Arial"/>
          <w:b/>
          <w:bCs/>
          <w:lang w:val="en-GB"/>
        </w:rPr>
      </w:pPr>
      <w:r w:rsidRPr="00345819">
        <w:rPr>
          <w:rFonts w:ascii="Arial" w:eastAsia="Calibri" w:hAnsi="Arial" w:cs="Arial"/>
          <w:b/>
          <w:bCs/>
          <w:lang w:val="en-GB"/>
        </w:rPr>
        <w:t xml:space="preserve">DATE OF SUBMISSION: </w:t>
      </w:r>
      <w:r w:rsidR="00630345">
        <w:rPr>
          <w:rFonts w:ascii="Arial" w:eastAsia="Calibri" w:hAnsi="Arial" w:cs="Arial"/>
          <w:b/>
          <w:bCs/>
          <w:lang w:val="en-GB"/>
        </w:rPr>
        <w:t>0</w:t>
      </w:r>
      <w:r w:rsidR="00E361D7" w:rsidRPr="00345819">
        <w:rPr>
          <w:rFonts w:ascii="Arial" w:eastAsia="Calibri" w:hAnsi="Arial" w:cs="Arial"/>
          <w:b/>
          <w:bCs/>
          <w:lang w:val="en-GB"/>
        </w:rPr>
        <w:t xml:space="preserve">3 APRIL </w:t>
      </w:r>
      <w:r w:rsidRPr="00345819">
        <w:rPr>
          <w:rFonts w:ascii="Arial" w:eastAsia="Calibri" w:hAnsi="Arial" w:cs="Arial"/>
          <w:b/>
          <w:bCs/>
          <w:lang w:val="en-GB"/>
        </w:rPr>
        <w:t>20</w:t>
      </w:r>
      <w:r w:rsidR="003F2E8D" w:rsidRPr="00345819">
        <w:rPr>
          <w:rFonts w:ascii="Arial" w:eastAsia="Calibri" w:hAnsi="Arial" w:cs="Arial"/>
          <w:b/>
          <w:bCs/>
          <w:lang w:val="en-GB"/>
        </w:rPr>
        <w:t>20</w:t>
      </w:r>
    </w:p>
    <w:p w:rsidR="00A4317E" w:rsidRPr="00A4317E" w:rsidRDefault="00A4317E" w:rsidP="00A4317E">
      <w:pPr>
        <w:spacing w:before="120" w:after="120" w:line="360" w:lineRule="auto"/>
        <w:jc w:val="both"/>
        <w:rPr>
          <w:rFonts w:ascii="Arial" w:hAnsi="Arial" w:cs="Arial"/>
          <w:b/>
          <w:bCs/>
          <w:lang w:val="en-ZA"/>
        </w:rPr>
      </w:pPr>
      <w:r w:rsidRPr="00A4317E">
        <w:rPr>
          <w:rFonts w:ascii="Arial" w:hAnsi="Arial" w:cs="Arial"/>
          <w:b/>
          <w:bCs/>
          <w:lang w:val="en-ZA"/>
        </w:rPr>
        <w:t>Dr M M Gondwe (DA) to ask the Minister of Justice and Correctional Services</w:t>
      </w:r>
      <w:r w:rsidRPr="00A4317E">
        <w:rPr>
          <w:rFonts w:ascii="Arial" w:hAnsi="Arial" w:cs="Arial"/>
          <w:b/>
          <w:bCs/>
          <w:lang w:val="en-ZA"/>
        </w:rPr>
        <w:fldChar w:fldCharType="begin"/>
      </w:r>
      <w:r w:rsidRPr="00A4317E">
        <w:rPr>
          <w:rFonts w:ascii="Arial" w:hAnsi="Arial" w:cs="Arial"/>
          <w:b/>
          <w:bCs/>
          <w:lang w:val="en-ZA"/>
        </w:rPr>
        <w:instrText xml:space="preserve"> XE "Justice and Correctional Services" </w:instrText>
      </w:r>
      <w:r w:rsidRPr="00A4317E">
        <w:rPr>
          <w:rFonts w:ascii="Arial" w:hAnsi="Arial" w:cs="Arial"/>
          <w:b/>
          <w:bCs/>
          <w:lang w:val="en-ZA"/>
        </w:rPr>
        <w:fldChar w:fldCharType="end"/>
      </w:r>
      <w:r w:rsidRPr="00A4317E">
        <w:rPr>
          <w:rFonts w:ascii="Arial" w:hAnsi="Arial" w:cs="Arial"/>
          <w:b/>
          <w:bCs/>
          <w:lang w:val="en-ZA"/>
        </w:rPr>
        <w:t>:</w:t>
      </w:r>
    </w:p>
    <w:p w:rsidR="00A4317E" w:rsidRPr="00A4317E" w:rsidRDefault="00A4317E" w:rsidP="00877CD6">
      <w:pPr>
        <w:numPr>
          <w:ilvl w:val="0"/>
          <w:numId w:val="2"/>
        </w:numPr>
        <w:spacing w:before="120" w:after="120" w:line="360" w:lineRule="auto"/>
        <w:jc w:val="both"/>
        <w:rPr>
          <w:rFonts w:ascii="Arial" w:hAnsi="Arial" w:cs="Arial"/>
          <w:lang w:val="en-ZA"/>
        </w:rPr>
      </w:pPr>
      <w:r w:rsidRPr="00A4317E">
        <w:rPr>
          <w:rFonts w:ascii="Arial" w:hAnsi="Arial" w:cs="Arial"/>
          <w:lang w:val="en-ZA"/>
        </w:rPr>
        <w:t>In light of the President’s Emergency Response Plan, what measures are being put in place by his department in order to capacitate and equip survivors of gender-based violence;</w:t>
      </w:r>
    </w:p>
    <w:p w:rsidR="00A4317E" w:rsidRPr="00A4317E" w:rsidRDefault="00A4317E" w:rsidP="00877CD6">
      <w:pPr>
        <w:numPr>
          <w:ilvl w:val="0"/>
          <w:numId w:val="2"/>
        </w:numPr>
        <w:spacing w:before="120" w:after="120" w:line="360" w:lineRule="auto"/>
        <w:jc w:val="both"/>
        <w:rPr>
          <w:rFonts w:ascii="Arial" w:hAnsi="Arial" w:cs="Arial"/>
          <w:lang w:val="en-ZA"/>
        </w:rPr>
      </w:pPr>
      <w:r>
        <w:rPr>
          <w:rFonts w:ascii="Arial" w:hAnsi="Arial" w:cs="Arial"/>
          <w:lang w:val="en-ZA"/>
        </w:rPr>
        <w:t>W</w:t>
      </w:r>
      <w:r w:rsidRPr="00A4317E">
        <w:rPr>
          <w:rFonts w:ascii="Arial" w:hAnsi="Arial" w:cs="Arial"/>
          <w:lang w:val="en-ZA"/>
        </w:rPr>
        <w:t>hat number of (a) prosecutors, (b) magistrates, (c) court officials and (d) other law enforcement officials has his department provided with gender-sensitive training;</w:t>
      </w:r>
    </w:p>
    <w:p w:rsidR="00A4317E" w:rsidRPr="00A4317E" w:rsidRDefault="00A4317E" w:rsidP="00877CD6">
      <w:pPr>
        <w:numPr>
          <w:ilvl w:val="0"/>
          <w:numId w:val="2"/>
        </w:numPr>
        <w:spacing w:before="120" w:after="120" w:line="360" w:lineRule="auto"/>
        <w:jc w:val="both"/>
        <w:rPr>
          <w:rFonts w:ascii="Arial" w:hAnsi="Arial" w:cs="Arial"/>
          <w:lang w:val="en-ZA"/>
        </w:rPr>
      </w:pPr>
      <w:r>
        <w:rPr>
          <w:rFonts w:ascii="Arial" w:hAnsi="Arial" w:cs="Arial"/>
          <w:lang w:val="en-ZA"/>
        </w:rPr>
        <w:t>I</w:t>
      </w:r>
      <w:r w:rsidRPr="00A4317E">
        <w:rPr>
          <w:rFonts w:ascii="Arial" w:hAnsi="Arial" w:cs="Arial"/>
          <w:lang w:val="en-ZA"/>
        </w:rPr>
        <w:t>n addition to the establishment of special courts and the hiring of additional court officials, what other measures has his department put in place to clear the backlog of criminal cases for rape and other forms of gender-based violence;</w:t>
      </w:r>
    </w:p>
    <w:p w:rsidR="00A4317E" w:rsidRDefault="00A4317E" w:rsidP="00877CD6">
      <w:pPr>
        <w:numPr>
          <w:ilvl w:val="0"/>
          <w:numId w:val="2"/>
        </w:numPr>
        <w:spacing w:before="120" w:after="120" w:line="360" w:lineRule="auto"/>
        <w:jc w:val="both"/>
        <w:rPr>
          <w:rFonts w:ascii="Arial" w:hAnsi="Arial" w:cs="Arial"/>
          <w:lang w:val="en-ZA"/>
        </w:rPr>
      </w:pPr>
      <w:r>
        <w:rPr>
          <w:rFonts w:ascii="Arial" w:hAnsi="Arial" w:cs="Arial"/>
          <w:lang w:val="en-ZA"/>
        </w:rPr>
        <w:t>W</w:t>
      </w:r>
      <w:r w:rsidRPr="00A4317E">
        <w:rPr>
          <w:rFonts w:ascii="Arial" w:hAnsi="Arial" w:cs="Arial"/>
          <w:lang w:val="en-ZA"/>
        </w:rPr>
        <w:t>hat mechanisms has his department put in place to ensure that court officials who fail to (a) inform a complainant of his or her rights, (b) consider the complaint as soon as is reasonably possible and (c) serve an interim protection order and the original warrant of arrest on the complainant as stipulated by the Domestic Violence Act, Act 116 of 1998, are held accountable?</w:t>
      </w:r>
      <w:r w:rsidRPr="00A4317E">
        <w:rPr>
          <w:rFonts w:ascii="Arial" w:hAnsi="Arial" w:cs="Arial"/>
          <w:lang w:val="en-ZA"/>
        </w:rPr>
        <w:tab/>
      </w:r>
    </w:p>
    <w:p w:rsidR="00A4317E" w:rsidRPr="00A4317E" w:rsidRDefault="00A4317E" w:rsidP="00A4317E">
      <w:pPr>
        <w:spacing w:before="120" w:after="120" w:line="360" w:lineRule="auto"/>
        <w:ind w:left="360"/>
        <w:jc w:val="right"/>
        <w:rPr>
          <w:rFonts w:ascii="Arial" w:hAnsi="Arial" w:cs="Arial"/>
          <w:b/>
          <w:lang w:val="en-ZA"/>
        </w:rPr>
      </w:pPr>
      <w:r w:rsidRPr="00A4317E">
        <w:rPr>
          <w:rFonts w:ascii="Arial" w:hAnsi="Arial" w:cs="Arial"/>
          <w:b/>
          <w:lang w:val="en-ZA"/>
        </w:rPr>
        <w:t>NW684E</w:t>
      </w:r>
    </w:p>
    <w:p w:rsidR="00E361D7" w:rsidRPr="00553B28" w:rsidRDefault="00E361D7" w:rsidP="00553B28">
      <w:pPr>
        <w:spacing w:before="120" w:after="120" w:line="360" w:lineRule="auto"/>
        <w:ind w:left="360"/>
        <w:jc w:val="right"/>
        <w:rPr>
          <w:rFonts w:ascii="Arial" w:hAnsi="Arial" w:cs="Arial"/>
          <w:b/>
          <w:lang w:val="en-ZA"/>
        </w:rPr>
      </w:pPr>
    </w:p>
    <w:p w:rsidR="00B47264" w:rsidRPr="00095B8E" w:rsidRDefault="00B47264" w:rsidP="00095B8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r w:rsidR="00630713">
        <w:rPr>
          <w:rFonts w:ascii="Arial" w:hAnsi="Arial" w:cs="Arial"/>
          <w:b/>
        </w:rPr>
        <w:t xml:space="preserve"> </w:t>
      </w:r>
    </w:p>
    <w:p w:rsidR="004D2EC7" w:rsidRDefault="004D2EC7" w:rsidP="006D7E71">
      <w:pPr>
        <w:spacing w:before="120" w:after="120" w:line="360" w:lineRule="auto"/>
        <w:rPr>
          <w:rFonts w:ascii="Arial" w:hAnsi="Arial" w:cs="Arial"/>
          <w:b/>
        </w:rPr>
      </w:pPr>
    </w:p>
    <w:p w:rsidR="00CD0949" w:rsidRDefault="004D2EC7" w:rsidP="00877CD6">
      <w:pPr>
        <w:numPr>
          <w:ilvl w:val="0"/>
          <w:numId w:val="4"/>
        </w:numPr>
        <w:spacing w:before="120" w:after="120" w:line="360" w:lineRule="auto"/>
        <w:jc w:val="both"/>
        <w:rPr>
          <w:rFonts w:ascii="Arial" w:hAnsi="Arial" w:cs="Arial"/>
          <w:lang w:val="en-ZA"/>
        </w:rPr>
      </w:pPr>
      <w:r>
        <w:rPr>
          <w:rFonts w:ascii="Arial" w:hAnsi="Arial" w:cs="Arial"/>
          <w:lang w:val="en-ZA"/>
        </w:rPr>
        <w:t xml:space="preserve">(a) </w:t>
      </w:r>
      <w:r w:rsidR="00697C83">
        <w:rPr>
          <w:rFonts w:ascii="Arial" w:hAnsi="Arial" w:cs="Arial"/>
          <w:lang w:val="en-ZA"/>
        </w:rPr>
        <w:t xml:space="preserve">Government has adopted a multi-pronged approach in giving effect to the </w:t>
      </w:r>
      <w:r w:rsidR="00CD0949">
        <w:rPr>
          <w:rFonts w:ascii="Arial" w:hAnsi="Arial" w:cs="Arial"/>
          <w:lang w:val="en-ZA"/>
        </w:rPr>
        <w:t>President’s Emergency Response Plan</w:t>
      </w:r>
      <w:r w:rsidR="00697C83">
        <w:rPr>
          <w:rFonts w:ascii="Arial" w:hAnsi="Arial" w:cs="Arial"/>
          <w:lang w:val="en-ZA"/>
        </w:rPr>
        <w:t>. Therefore</w:t>
      </w:r>
      <w:r>
        <w:rPr>
          <w:rFonts w:ascii="Arial" w:hAnsi="Arial" w:cs="Arial"/>
          <w:lang w:val="en-ZA"/>
        </w:rPr>
        <w:t>,</w:t>
      </w:r>
      <w:r w:rsidR="00697C83">
        <w:rPr>
          <w:rFonts w:ascii="Arial" w:hAnsi="Arial" w:cs="Arial"/>
          <w:lang w:val="en-ZA"/>
        </w:rPr>
        <w:t xml:space="preserve"> </w:t>
      </w:r>
      <w:r w:rsidR="00CD0949">
        <w:rPr>
          <w:rFonts w:ascii="Arial" w:hAnsi="Arial" w:cs="Arial"/>
          <w:lang w:val="en-ZA"/>
        </w:rPr>
        <w:t>measures</w:t>
      </w:r>
      <w:r w:rsidR="00697C83">
        <w:rPr>
          <w:rFonts w:ascii="Arial" w:hAnsi="Arial" w:cs="Arial"/>
          <w:lang w:val="en-ZA"/>
        </w:rPr>
        <w:t xml:space="preserve"> that are undertaken by the department are part of </w:t>
      </w:r>
      <w:r w:rsidR="006D533A">
        <w:rPr>
          <w:rFonts w:ascii="Arial" w:hAnsi="Arial" w:cs="Arial"/>
          <w:lang w:val="en-ZA"/>
        </w:rPr>
        <w:t xml:space="preserve">a </w:t>
      </w:r>
      <w:r w:rsidR="00697C83">
        <w:rPr>
          <w:rFonts w:ascii="Arial" w:hAnsi="Arial" w:cs="Arial"/>
          <w:lang w:val="en-ZA"/>
        </w:rPr>
        <w:t>comprehensive plan by</w:t>
      </w:r>
      <w:r w:rsidR="00ED6A75">
        <w:rPr>
          <w:rFonts w:ascii="Arial" w:hAnsi="Arial" w:cs="Arial"/>
          <w:lang w:val="en-ZA"/>
        </w:rPr>
        <w:t xml:space="preserve"> various departments and Organs of State </w:t>
      </w:r>
      <w:r w:rsidR="00697C83">
        <w:rPr>
          <w:rFonts w:ascii="Arial" w:hAnsi="Arial" w:cs="Arial"/>
          <w:lang w:val="en-ZA"/>
        </w:rPr>
        <w:t xml:space="preserve">to empower and </w:t>
      </w:r>
      <w:r w:rsidR="00CD0949">
        <w:rPr>
          <w:rFonts w:ascii="Arial" w:hAnsi="Arial" w:cs="Arial"/>
          <w:lang w:val="en-ZA"/>
        </w:rPr>
        <w:t>equip sur</w:t>
      </w:r>
      <w:r>
        <w:rPr>
          <w:rFonts w:ascii="Arial" w:hAnsi="Arial" w:cs="Arial"/>
          <w:lang w:val="en-ZA"/>
        </w:rPr>
        <w:t>vivors of gender-based violence.</w:t>
      </w:r>
    </w:p>
    <w:p w:rsidR="00697C83" w:rsidRDefault="00697C83" w:rsidP="00877CD6">
      <w:pPr>
        <w:numPr>
          <w:ilvl w:val="0"/>
          <w:numId w:val="5"/>
        </w:numPr>
        <w:spacing w:before="120" w:after="120" w:line="360" w:lineRule="auto"/>
        <w:jc w:val="both"/>
        <w:rPr>
          <w:rFonts w:ascii="Arial" w:hAnsi="Arial" w:cs="Arial"/>
          <w:lang w:val="en-ZA" w:eastAsia="en-GB"/>
        </w:rPr>
      </w:pPr>
      <w:r w:rsidRPr="00FA14D9">
        <w:rPr>
          <w:rFonts w:ascii="Arial" w:hAnsi="Arial" w:cs="Arial"/>
          <w:lang w:val="en-ZA" w:eastAsia="en-GB"/>
        </w:rPr>
        <w:t xml:space="preserve">The Department developed a Risk Assessment Tool for victims of intimate partner violence. This Tool is intended to increase the reporting rate in domestic violence and most importantly, to encourage survivors to take legal action against </w:t>
      </w:r>
      <w:r w:rsidR="0007015D">
        <w:rPr>
          <w:rFonts w:ascii="Arial" w:hAnsi="Arial" w:cs="Arial"/>
          <w:lang w:val="en-ZA" w:eastAsia="en-GB"/>
        </w:rPr>
        <w:t xml:space="preserve">perpetrators on </w:t>
      </w:r>
      <w:r w:rsidRPr="00FA14D9">
        <w:rPr>
          <w:rFonts w:ascii="Arial" w:hAnsi="Arial" w:cs="Arial"/>
          <w:lang w:val="en-ZA" w:eastAsia="en-GB"/>
        </w:rPr>
        <w:t xml:space="preserve">domestic violence so as to avoid further domestic violence and potential intimate femicide. It is primarily intended to reduce the incidence of intimate femicide in the country by opening the eyes of a victim of domestic violence so that they are able to make an informed choice when deciding what recourse to take.  Copies of the Risk Assessment Tool have been widely </w:t>
      </w:r>
      <w:r w:rsidR="00ED6A75">
        <w:rPr>
          <w:rFonts w:ascii="Arial" w:hAnsi="Arial" w:cs="Arial"/>
          <w:lang w:val="en-ZA" w:eastAsia="en-GB"/>
        </w:rPr>
        <w:t>distributed at o</w:t>
      </w:r>
      <w:r w:rsidRPr="00FA14D9">
        <w:rPr>
          <w:rFonts w:ascii="Arial" w:hAnsi="Arial" w:cs="Arial"/>
          <w:lang w:val="en-ZA" w:eastAsia="en-GB"/>
        </w:rPr>
        <w:t>ur courts</w:t>
      </w:r>
      <w:r w:rsidR="00ED6A75">
        <w:rPr>
          <w:rFonts w:ascii="Arial" w:hAnsi="Arial" w:cs="Arial"/>
          <w:lang w:val="en-ZA" w:eastAsia="en-GB"/>
        </w:rPr>
        <w:t xml:space="preserve"> for the benefit of </w:t>
      </w:r>
      <w:r w:rsidRPr="00FA14D9">
        <w:rPr>
          <w:rFonts w:ascii="Arial" w:hAnsi="Arial" w:cs="Arial"/>
          <w:lang w:val="en-ZA" w:eastAsia="en-GB"/>
        </w:rPr>
        <w:t>victims of domestic violence when they come to court to report a matter. Training on the national codified instructions has been provided to domestic violence clerks. Specific focus on the risk assessment tool has also been provided within this training.</w:t>
      </w:r>
    </w:p>
    <w:p w:rsidR="000D48A4" w:rsidRPr="004D2EC7" w:rsidRDefault="00FE5939" w:rsidP="00877CD6">
      <w:pPr>
        <w:numPr>
          <w:ilvl w:val="0"/>
          <w:numId w:val="5"/>
        </w:numPr>
        <w:spacing w:before="120" w:after="120" w:line="360" w:lineRule="auto"/>
        <w:jc w:val="both"/>
        <w:rPr>
          <w:rFonts w:ascii="Arial" w:hAnsi="Arial" w:cs="Arial"/>
          <w:lang w:val="en-ZA" w:eastAsia="en-GB"/>
        </w:rPr>
      </w:pPr>
      <w:r>
        <w:rPr>
          <w:rFonts w:ascii="Arial" w:hAnsi="Arial" w:cs="Arial"/>
          <w:lang w:val="en-ZA" w:eastAsia="en-GB"/>
        </w:rPr>
        <w:t>The Sexual Offences Courts play a critical role in empowering survi</w:t>
      </w:r>
      <w:r w:rsidR="004D2EC7">
        <w:rPr>
          <w:rFonts w:ascii="Arial" w:hAnsi="Arial" w:cs="Arial"/>
          <w:lang w:val="en-ZA" w:eastAsia="en-GB"/>
        </w:rPr>
        <w:t xml:space="preserve">vors of gender-based violence. </w:t>
      </w:r>
      <w:r>
        <w:rPr>
          <w:rFonts w:ascii="Arial" w:hAnsi="Arial" w:cs="Arial"/>
          <w:lang w:val="en-ZA" w:eastAsia="en-GB"/>
        </w:rPr>
        <w:t>Through these courts, sexual offences including rape are prioritised</w:t>
      </w:r>
      <w:r w:rsidR="000D48A4">
        <w:rPr>
          <w:rFonts w:ascii="Arial" w:hAnsi="Arial" w:cs="Arial"/>
          <w:lang w:val="en-ZA" w:eastAsia="en-GB"/>
        </w:rPr>
        <w:t xml:space="preserve"> an</w:t>
      </w:r>
      <w:r w:rsidR="006D533A">
        <w:rPr>
          <w:rFonts w:ascii="Arial" w:hAnsi="Arial" w:cs="Arial"/>
          <w:lang w:val="en-ZA" w:eastAsia="en-GB"/>
        </w:rPr>
        <w:t>d these courts have maintained</w:t>
      </w:r>
      <w:r w:rsidR="000D48A4">
        <w:rPr>
          <w:rFonts w:ascii="Arial" w:hAnsi="Arial" w:cs="Arial"/>
          <w:lang w:val="en-ZA" w:eastAsia="en-GB"/>
        </w:rPr>
        <w:t xml:space="preserve"> high conviction rates with</w:t>
      </w:r>
      <w:r w:rsidR="0007015D">
        <w:rPr>
          <w:rFonts w:ascii="Arial" w:hAnsi="Arial" w:cs="Arial"/>
          <w:lang w:val="en-ZA" w:eastAsia="en-GB"/>
        </w:rPr>
        <w:t xml:space="preserve"> harsh sentences as a deterrent</w:t>
      </w:r>
      <w:r w:rsidR="000D48A4">
        <w:rPr>
          <w:rFonts w:ascii="Arial" w:hAnsi="Arial" w:cs="Arial"/>
          <w:lang w:val="en-ZA" w:eastAsia="en-GB"/>
        </w:rPr>
        <w:t xml:space="preserve"> to these heinous crimes.</w:t>
      </w:r>
    </w:p>
    <w:p w:rsidR="00FE5939" w:rsidRPr="004D2EC7" w:rsidRDefault="00ED6A75" w:rsidP="00877CD6">
      <w:pPr>
        <w:numPr>
          <w:ilvl w:val="0"/>
          <w:numId w:val="5"/>
        </w:numPr>
        <w:spacing w:before="120" w:after="120" w:line="360" w:lineRule="auto"/>
        <w:jc w:val="both"/>
        <w:rPr>
          <w:rFonts w:ascii="Arial" w:hAnsi="Arial" w:cs="Arial"/>
          <w:lang w:val="en-ZA" w:eastAsia="en-GB"/>
        </w:rPr>
      </w:pPr>
      <w:r>
        <w:rPr>
          <w:rFonts w:ascii="Arial" w:hAnsi="Arial" w:cs="Arial"/>
          <w:lang w:val="en-ZA" w:eastAsia="en-GB"/>
        </w:rPr>
        <w:t>From the side of the</w:t>
      </w:r>
      <w:r w:rsidRPr="004D2EC7">
        <w:rPr>
          <w:rFonts w:ascii="Arial" w:hAnsi="Arial" w:cs="Arial"/>
          <w:lang w:val="en-ZA" w:eastAsia="en-GB"/>
        </w:rPr>
        <w:t xml:space="preserve"> </w:t>
      </w:r>
      <w:r w:rsidR="00FE5939" w:rsidRPr="004D2EC7">
        <w:rPr>
          <w:rFonts w:ascii="Arial" w:hAnsi="Arial" w:cs="Arial"/>
          <w:lang w:val="en-ZA" w:eastAsia="en-GB"/>
        </w:rPr>
        <w:t>National Prosecuting Authority</w:t>
      </w:r>
      <w:r w:rsidR="00DB0B3D">
        <w:rPr>
          <w:rFonts w:ascii="Arial" w:hAnsi="Arial" w:cs="Arial"/>
          <w:lang w:val="en-ZA" w:eastAsia="en-GB"/>
        </w:rPr>
        <w:t xml:space="preserve"> (NPA)</w:t>
      </w:r>
      <w:r w:rsidR="00FE5939" w:rsidRPr="004D2EC7">
        <w:rPr>
          <w:rFonts w:ascii="Arial" w:hAnsi="Arial" w:cs="Arial"/>
          <w:lang w:val="en-ZA" w:eastAsia="en-GB"/>
        </w:rPr>
        <w:t>, the</w:t>
      </w:r>
      <w:r w:rsidR="000D48A4" w:rsidRPr="004D2EC7">
        <w:rPr>
          <w:rFonts w:ascii="Arial" w:hAnsi="Arial" w:cs="Arial"/>
          <w:lang w:val="en-ZA" w:eastAsia="en-GB"/>
        </w:rPr>
        <w:t xml:space="preserve"> Thuthuzela </w:t>
      </w:r>
      <w:r w:rsidRPr="004D2EC7">
        <w:rPr>
          <w:rFonts w:ascii="Arial" w:hAnsi="Arial" w:cs="Arial"/>
          <w:lang w:val="en-ZA" w:eastAsia="en-GB"/>
        </w:rPr>
        <w:t>Care Centre</w:t>
      </w:r>
      <w:r w:rsidR="00076A3F">
        <w:rPr>
          <w:rFonts w:ascii="Arial" w:hAnsi="Arial" w:cs="Arial"/>
          <w:lang w:val="en-ZA" w:eastAsia="en-GB"/>
        </w:rPr>
        <w:t>s</w:t>
      </w:r>
      <w:r w:rsidRPr="004D2EC7">
        <w:rPr>
          <w:rFonts w:ascii="Arial" w:hAnsi="Arial" w:cs="Arial"/>
          <w:lang w:val="en-ZA" w:eastAsia="en-GB"/>
        </w:rPr>
        <w:t xml:space="preserve"> (TCC) remain an important vehicle to </w:t>
      </w:r>
      <w:r w:rsidR="00A80164" w:rsidRPr="004D2EC7">
        <w:rPr>
          <w:rFonts w:ascii="Arial" w:hAnsi="Arial" w:cs="Arial"/>
          <w:lang w:val="en-ZA" w:eastAsia="en-GB"/>
        </w:rPr>
        <w:t>support and equip survi</w:t>
      </w:r>
      <w:r w:rsidR="004D2EC7">
        <w:rPr>
          <w:rFonts w:ascii="Arial" w:hAnsi="Arial" w:cs="Arial"/>
          <w:lang w:val="en-ZA" w:eastAsia="en-GB"/>
        </w:rPr>
        <w:t xml:space="preserve">vors of gender based violence. </w:t>
      </w:r>
      <w:r w:rsidR="00A80164" w:rsidRPr="004D2EC7">
        <w:rPr>
          <w:rFonts w:ascii="Arial" w:hAnsi="Arial" w:cs="Arial"/>
          <w:lang w:val="en-ZA" w:eastAsia="en-GB"/>
        </w:rPr>
        <w:t>Through the TCCs the services of various departments including departments of Health and Social Development are able to provide integrated support services as the investigation, prosecution and trial of cases in w</w:t>
      </w:r>
      <w:r w:rsidR="004D2EC7">
        <w:rPr>
          <w:rFonts w:ascii="Arial" w:hAnsi="Arial" w:cs="Arial"/>
          <w:lang w:val="en-ZA" w:eastAsia="en-GB"/>
        </w:rPr>
        <w:t xml:space="preserve">hich they are involved unfold. </w:t>
      </w:r>
      <w:r w:rsidR="00FE5939" w:rsidRPr="004D2EC7">
        <w:rPr>
          <w:rFonts w:ascii="Arial" w:hAnsi="Arial" w:cs="Arial"/>
          <w:lang w:val="en-ZA" w:eastAsia="en-GB"/>
        </w:rPr>
        <w:t xml:space="preserve">It is for this reason that the NPA has been allocated additional funds from, amongst others, the Criminal Asset Recovery Account </w:t>
      </w:r>
      <w:r w:rsidR="00FE5939" w:rsidRPr="004D2EC7">
        <w:rPr>
          <w:rFonts w:ascii="Arial" w:hAnsi="Arial" w:cs="Arial"/>
          <w:lang w:val="en-ZA" w:eastAsia="en-GB"/>
        </w:rPr>
        <w:lastRenderedPageBreak/>
        <w:t xml:space="preserve">(CARA) into which the proceeds of crime are deposited, to expand the TCCs from the current total number of 55 country-wide. </w:t>
      </w:r>
    </w:p>
    <w:p w:rsidR="000D48A4" w:rsidRPr="004D2EC7" w:rsidRDefault="000D48A4" w:rsidP="00877CD6">
      <w:pPr>
        <w:numPr>
          <w:ilvl w:val="0"/>
          <w:numId w:val="5"/>
        </w:numPr>
        <w:spacing w:before="120" w:after="120" w:line="360" w:lineRule="auto"/>
        <w:jc w:val="both"/>
        <w:rPr>
          <w:rFonts w:ascii="Arial" w:hAnsi="Arial" w:cs="Arial"/>
          <w:lang w:val="en-ZA" w:eastAsia="en-GB"/>
        </w:rPr>
      </w:pPr>
      <w:r>
        <w:rPr>
          <w:rFonts w:ascii="Arial" w:hAnsi="Arial" w:cs="Arial"/>
          <w:lang w:val="en-ZA" w:eastAsia="en-GB"/>
        </w:rPr>
        <w:t>The Department continues to conduct awareness campaigns through, amongst other media platforms, the r</w:t>
      </w:r>
      <w:r w:rsidRPr="00FA14D9">
        <w:rPr>
          <w:rFonts w:ascii="Arial" w:hAnsi="Arial" w:cs="Arial"/>
          <w:lang w:val="en-ZA" w:eastAsia="en-GB"/>
        </w:rPr>
        <w:t xml:space="preserve">adio </w:t>
      </w:r>
      <w:r>
        <w:rPr>
          <w:rFonts w:ascii="Arial" w:hAnsi="Arial" w:cs="Arial"/>
          <w:lang w:val="en-ZA" w:eastAsia="en-GB"/>
        </w:rPr>
        <w:t xml:space="preserve">to provide </w:t>
      </w:r>
      <w:r w:rsidR="00DB0B3D">
        <w:rPr>
          <w:rFonts w:ascii="Arial" w:hAnsi="Arial" w:cs="Arial"/>
          <w:lang w:val="en-ZA" w:eastAsia="en-GB"/>
        </w:rPr>
        <w:t xml:space="preserve">public education; </w:t>
      </w:r>
      <w:r w:rsidRPr="00FA14D9">
        <w:rPr>
          <w:rFonts w:ascii="Arial" w:hAnsi="Arial" w:cs="Arial"/>
          <w:lang w:val="en-ZA" w:eastAsia="en-GB"/>
        </w:rPr>
        <w:t>information sessions, and dialogues in communities</w:t>
      </w:r>
      <w:r>
        <w:rPr>
          <w:rFonts w:ascii="Arial" w:hAnsi="Arial" w:cs="Arial"/>
          <w:lang w:val="en-ZA" w:eastAsia="en-GB"/>
        </w:rPr>
        <w:t xml:space="preserve">, at which survivors participate. </w:t>
      </w:r>
      <w:r w:rsidRPr="00FA14D9">
        <w:rPr>
          <w:rFonts w:ascii="Arial" w:hAnsi="Arial" w:cs="Arial"/>
          <w:lang w:val="en-ZA" w:eastAsia="en-GB"/>
        </w:rPr>
        <w:t xml:space="preserve">A number of radio stations </w:t>
      </w:r>
      <w:r>
        <w:rPr>
          <w:rFonts w:ascii="Arial" w:hAnsi="Arial" w:cs="Arial"/>
          <w:lang w:val="en-ZA" w:eastAsia="en-GB"/>
        </w:rPr>
        <w:t>participate in these programmes which have a wider coverage. A</w:t>
      </w:r>
      <w:r w:rsidRPr="00FA14D9">
        <w:rPr>
          <w:rFonts w:ascii="Arial" w:hAnsi="Arial" w:cs="Arial"/>
          <w:lang w:val="en-ZA" w:eastAsia="en-GB"/>
        </w:rPr>
        <w:t>ccording to the Broadcast Research Council of South Africa 82% of the population in South Africa</w:t>
      </w:r>
      <w:r w:rsidR="006D533A">
        <w:rPr>
          <w:rFonts w:ascii="Arial" w:hAnsi="Arial" w:cs="Arial"/>
          <w:lang w:val="en-ZA" w:eastAsia="en-GB"/>
        </w:rPr>
        <w:t>, are</w:t>
      </w:r>
      <w:r w:rsidRPr="00FA14D9">
        <w:rPr>
          <w:rFonts w:ascii="Arial" w:hAnsi="Arial" w:cs="Arial"/>
          <w:lang w:val="en-ZA" w:eastAsia="en-GB"/>
        </w:rPr>
        <w:t xml:space="preserve"> radio listeners, therefore the Department was able to reach an estimated 32 million South Africans through the use of radio.</w:t>
      </w:r>
    </w:p>
    <w:p w:rsidR="000D48A4" w:rsidRDefault="000D48A4" w:rsidP="00FE5939">
      <w:pPr>
        <w:spacing w:line="360" w:lineRule="auto"/>
        <w:jc w:val="both"/>
        <w:rPr>
          <w:rFonts w:ascii="Arial" w:hAnsi="Arial" w:cs="Arial"/>
          <w:u w:val="single"/>
        </w:rPr>
      </w:pPr>
    </w:p>
    <w:p w:rsidR="00D746E1" w:rsidRPr="00FA14D9" w:rsidRDefault="00D746E1" w:rsidP="00877CD6">
      <w:pPr>
        <w:numPr>
          <w:ilvl w:val="0"/>
          <w:numId w:val="4"/>
        </w:numPr>
        <w:spacing w:before="120" w:after="120" w:line="360" w:lineRule="auto"/>
        <w:jc w:val="both"/>
        <w:rPr>
          <w:rFonts w:ascii="Arial" w:hAnsi="Arial" w:cs="Arial"/>
          <w:lang w:val="en-ZA"/>
        </w:rPr>
      </w:pPr>
      <w:r>
        <w:rPr>
          <w:rFonts w:ascii="Arial" w:hAnsi="Arial" w:cs="Arial"/>
          <w:lang w:val="en-ZA"/>
        </w:rPr>
        <w:t>(a)</w:t>
      </w:r>
      <w:r>
        <w:rPr>
          <w:rFonts w:ascii="Arial" w:hAnsi="Arial" w:cs="Arial"/>
          <w:lang w:val="en-ZA"/>
        </w:rPr>
        <w:tab/>
      </w:r>
      <w:r w:rsidRPr="00FA14D9">
        <w:rPr>
          <w:rFonts w:ascii="Arial" w:hAnsi="Arial" w:cs="Arial"/>
          <w:lang w:val="en-ZA"/>
        </w:rPr>
        <w:t xml:space="preserve">The table below reflects the training provided by the </w:t>
      </w:r>
      <w:r>
        <w:rPr>
          <w:rFonts w:ascii="Arial" w:hAnsi="Arial" w:cs="Arial"/>
          <w:lang w:val="en-ZA"/>
        </w:rPr>
        <w:t>National Prosecuting Authority to prosecutors</w:t>
      </w:r>
      <w:r w:rsidRPr="00FA14D9">
        <w:rPr>
          <w:rFonts w:ascii="Arial" w:hAnsi="Arial" w:cs="Arial"/>
          <w:lang w:val="en-ZA"/>
        </w:rPr>
        <w:t xml:space="preserve"> until the end of 2018/19: </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810"/>
        <w:gridCol w:w="3543"/>
      </w:tblGrid>
      <w:tr w:rsidR="00D746E1" w:rsidRPr="00FA14D9" w:rsidTr="004D114B">
        <w:tc>
          <w:tcPr>
            <w:tcW w:w="1926" w:type="dxa"/>
            <w:shd w:val="clear" w:color="auto" w:fill="E7E6E6"/>
          </w:tcPr>
          <w:p w:rsidR="00D746E1" w:rsidRPr="00FA14D9" w:rsidRDefault="00D746E1" w:rsidP="004D114B">
            <w:pPr>
              <w:spacing w:line="360" w:lineRule="auto"/>
              <w:jc w:val="both"/>
              <w:rPr>
                <w:rFonts w:ascii="Arial" w:hAnsi="Arial" w:cs="Arial"/>
                <w:b/>
                <w:lang w:val="en-ZA"/>
              </w:rPr>
            </w:pPr>
            <w:r w:rsidRPr="00FA14D9">
              <w:rPr>
                <w:rFonts w:ascii="Arial" w:hAnsi="Arial" w:cs="Arial"/>
                <w:b/>
                <w:lang w:val="en-ZA"/>
              </w:rPr>
              <w:t>Financial Year</w:t>
            </w:r>
          </w:p>
        </w:tc>
        <w:tc>
          <w:tcPr>
            <w:tcW w:w="3810" w:type="dxa"/>
            <w:shd w:val="clear" w:color="auto" w:fill="E7E6E6"/>
          </w:tcPr>
          <w:p w:rsidR="00D746E1" w:rsidRPr="00FA14D9" w:rsidRDefault="00D746E1" w:rsidP="004D114B">
            <w:pPr>
              <w:spacing w:line="360" w:lineRule="auto"/>
              <w:jc w:val="both"/>
              <w:rPr>
                <w:rFonts w:ascii="Arial" w:hAnsi="Arial" w:cs="Arial"/>
                <w:b/>
                <w:lang w:val="en-ZA"/>
              </w:rPr>
            </w:pPr>
            <w:r w:rsidRPr="00FA14D9">
              <w:rPr>
                <w:rFonts w:ascii="Arial" w:hAnsi="Arial" w:cs="Arial"/>
                <w:b/>
                <w:lang w:val="en-ZA"/>
              </w:rPr>
              <w:t>No. of prosecutors trained (on Sexual Offences and Domestic Violence Legislation)</w:t>
            </w:r>
          </w:p>
        </w:tc>
        <w:tc>
          <w:tcPr>
            <w:tcW w:w="3543" w:type="dxa"/>
            <w:shd w:val="clear" w:color="auto" w:fill="E7E6E6"/>
          </w:tcPr>
          <w:p w:rsidR="00D746E1" w:rsidRPr="00FA14D9" w:rsidRDefault="00D746E1" w:rsidP="004D114B">
            <w:pPr>
              <w:spacing w:line="360" w:lineRule="auto"/>
              <w:jc w:val="both"/>
              <w:rPr>
                <w:rFonts w:ascii="Arial" w:hAnsi="Arial" w:cs="Arial"/>
                <w:b/>
                <w:lang w:val="en-ZA"/>
              </w:rPr>
            </w:pPr>
            <w:r w:rsidRPr="00FA14D9">
              <w:rPr>
                <w:rFonts w:ascii="Arial" w:hAnsi="Arial" w:cs="Arial"/>
                <w:b/>
                <w:lang w:val="en-ZA"/>
              </w:rPr>
              <w:t>Number of law enforcement officials and other</w:t>
            </w:r>
            <w:r w:rsidR="0007015D">
              <w:rPr>
                <w:rFonts w:ascii="Arial" w:hAnsi="Arial" w:cs="Arial"/>
                <w:b/>
                <w:lang w:val="en-ZA"/>
              </w:rPr>
              <w:t>s</w:t>
            </w:r>
            <w:r w:rsidRPr="00FA14D9">
              <w:rPr>
                <w:rFonts w:ascii="Arial" w:hAnsi="Arial" w:cs="Arial"/>
                <w:b/>
                <w:lang w:val="en-ZA"/>
              </w:rPr>
              <w:t xml:space="preserve"> (SAPS, DSD, DoH, etc.) </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2013/14</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212</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564</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2014/15</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140</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563</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2015/16</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265</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711</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2016/17</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248</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543</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2017/18</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153</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469</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lang w:val="en-ZA"/>
              </w:rPr>
            </w:pPr>
            <w:r w:rsidRPr="00FA14D9">
              <w:rPr>
                <w:rFonts w:ascii="Arial" w:hAnsi="Arial" w:cs="Arial"/>
                <w:lang w:val="en-ZA"/>
              </w:rPr>
              <w:t>2018/19</w:t>
            </w:r>
          </w:p>
        </w:tc>
        <w:tc>
          <w:tcPr>
            <w:tcW w:w="3810"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67</w:t>
            </w:r>
          </w:p>
        </w:tc>
        <w:tc>
          <w:tcPr>
            <w:tcW w:w="3543" w:type="dxa"/>
            <w:shd w:val="clear" w:color="auto" w:fill="auto"/>
          </w:tcPr>
          <w:p w:rsidR="00D746E1" w:rsidRPr="00FA14D9" w:rsidRDefault="00D746E1" w:rsidP="004D114B">
            <w:pPr>
              <w:spacing w:line="360" w:lineRule="auto"/>
              <w:jc w:val="center"/>
              <w:rPr>
                <w:rFonts w:ascii="Arial" w:hAnsi="Arial" w:cs="Arial"/>
                <w:lang w:val="en-ZA"/>
              </w:rPr>
            </w:pPr>
            <w:r w:rsidRPr="00FA14D9">
              <w:rPr>
                <w:rFonts w:ascii="Arial" w:hAnsi="Arial" w:cs="Arial"/>
                <w:lang w:val="en-ZA"/>
              </w:rPr>
              <w:t>874</w:t>
            </w:r>
          </w:p>
        </w:tc>
      </w:tr>
      <w:tr w:rsidR="00D746E1" w:rsidRPr="00FA14D9" w:rsidTr="004D114B">
        <w:tc>
          <w:tcPr>
            <w:tcW w:w="1926" w:type="dxa"/>
            <w:shd w:val="clear" w:color="auto" w:fill="auto"/>
          </w:tcPr>
          <w:p w:rsidR="00D746E1" w:rsidRPr="00FA14D9" w:rsidRDefault="00D746E1" w:rsidP="004D114B">
            <w:pPr>
              <w:spacing w:line="360" w:lineRule="auto"/>
              <w:jc w:val="both"/>
              <w:rPr>
                <w:rFonts w:ascii="Arial" w:hAnsi="Arial" w:cs="Arial"/>
                <w:b/>
                <w:lang w:val="en-ZA"/>
              </w:rPr>
            </w:pPr>
            <w:r w:rsidRPr="00FA14D9">
              <w:rPr>
                <w:rFonts w:ascii="Arial" w:hAnsi="Arial" w:cs="Arial"/>
                <w:b/>
                <w:lang w:val="en-ZA"/>
              </w:rPr>
              <w:t>Total</w:t>
            </w:r>
          </w:p>
        </w:tc>
        <w:tc>
          <w:tcPr>
            <w:tcW w:w="3810" w:type="dxa"/>
            <w:shd w:val="clear" w:color="auto" w:fill="auto"/>
          </w:tcPr>
          <w:p w:rsidR="00D746E1" w:rsidRPr="00FA14D9" w:rsidRDefault="00D746E1" w:rsidP="004D114B">
            <w:pPr>
              <w:spacing w:line="360" w:lineRule="auto"/>
              <w:jc w:val="center"/>
              <w:rPr>
                <w:rFonts w:ascii="Arial" w:hAnsi="Arial" w:cs="Arial"/>
                <w:b/>
                <w:lang w:val="en-ZA"/>
              </w:rPr>
            </w:pPr>
            <w:r w:rsidRPr="00FA14D9">
              <w:rPr>
                <w:rFonts w:ascii="Arial" w:hAnsi="Arial" w:cs="Arial"/>
                <w:b/>
                <w:lang w:val="en-ZA"/>
              </w:rPr>
              <w:t>1 085</w:t>
            </w:r>
          </w:p>
        </w:tc>
        <w:tc>
          <w:tcPr>
            <w:tcW w:w="3543" w:type="dxa"/>
            <w:shd w:val="clear" w:color="auto" w:fill="auto"/>
          </w:tcPr>
          <w:p w:rsidR="00D746E1" w:rsidRPr="00FA14D9" w:rsidRDefault="004D2EC7" w:rsidP="004D2EC7">
            <w:pPr>
              <w:spacing w:line="360" w:lineRule="auto"/>
              <w:jc w:val="center"/>
              <w:rPr>
                <w:rFonts w:ascii="Arial" w:hAnsi="Arial" w:cs="Arial"/>
                <w:b/>
                <w:lang w:val="en-ZA"/>
              </w:rPr>
            </w:pPr>
            <w:r>
              <w:rPr>
                <w:rFonts w:ascii="Arial" w:hAnsi="Arial" w:cs="Arial"/>
                <w:b/>
                <w:lang w:val="en-ZA"/>
              </w:rPr>
              <w:t xml:space="preserve">3 </w:t>
            </w:r>
            <w:r w:rsidR="00D746E1" w:rsidRPr="00FA14D9">
              <w:rPr>
                <w:rFonts w:ascii="Arial" w:hAnsi="Arial" w:cs="Arial"/>
                <w:b/>
                <w:lang w:val="en-ZA"/>
              </w:rPr>
              <w:t>724</w:t>
            </w:r>
          </w:p>
        </w:tc>
      </w:tr>
    </w:tbl>
    <w:p w:rsidR="00D746E1" w:rsidRPr="00FA14D9" w:rsidRDefault="00D746E1" w:rsidP="00D746E1">
      <w:pPr>
        <w:spacing w:line="360" w:lineRule="auto"/>
        <w:ind w:left="360"/>
        <w:jc w:val="both"/>
        <w:rPr>
          <w:rFonts w:ascii="Arial" w:hAnsi="Arial" w:cs="Arial"/>
          <w:b/>
          <w:lang w:val="en-ZA"/>
        </w:rPr>
      </w:pPr>
    </w:p>
    <w:p w:rsidR="009569FA" w:rsidRPr="00FA14D9" w:rsidRDefault="00D746E1" w:rsidP="00877CD6">
      <w:pPr>
        <w:numPr>
          <w:ilvl w:val="0"/>
          <w:numId w:val="6"/>
        </w:numPr>
        <w:spacing w:before="120" w:after="120" w:line="360" w:lineRule="auto"/>
        <w:jc w:val="both"/>
        <w:rPr>
          <w:rFonts w:ascii="Arial" w:hAnsi="Arial" w:cs="Arial"/>
          <w:b/>
          <w:lang w:val="en-ZA"/>
        </w:rPr>
      </w:pPr>
      <w:r>
        <w:rPr>
          <w:rFonts w:ascii="Arial" w:hAnsi="Arial" w:cs="Arial"/>
          <w:lang w:val="en-ZA"/>
        </w:rPr>
        <w:t xml:space="preserve">The on-going </w:t>
      </w:r>
      <w:r w:rsidR="00ED6A75" w:rsidRPr="00D746E1">
        <w:rPr>
          <w:rFonts w:ascii="Arial" w:hAnsi="Arial" w:cs="Arial"/>
          <w:bCs/>
          <w:lang w:val="en-ZA"/>
        </w:rPr>
        <w:t>skills development</w:t>
      </w:r>
      <w:r w:rsidR="00ED6A75" w:rsidRPr="00FA14D9">
        <w:rPr>
          <w:rFonts w:ascii="Arial" w:hAnsi="Arial" w:cs="Arial"/>
          <w:b/>
          <w:bCs/>
          <w:lang w:val="en-ZA"/>
        </w:rPr>
        <w:t xml:space="preserve"> </w:t>
      </w:r>
      <w:r w:rsidR="00ED6A75" w:rsidRPr="00FA14D9">
        <w:rPr>
          <w:rFonts w:ascii="Arial" w:hAnsi="Arial" w:cs="Arial"/>
          <w:lang w:val="en-ZA"/>
        </w:rPr>
        <w:t>of prosecutors</w:t>
      </w:r>
      <w:r w:rsidR="00CF35A0">
        <w:rPr>
          <w:rFonts w:ascii="Arial" w:hAnsi="Arial" w:cs="Arial"/>
          <w:lang w:val="en-ZA"/>
        </w:rPr>
        <w:t>, is</w:t>
      </w:r>
      <w:r>
        <w:rPr>
          <w:rFonts w:ascii="Arial" w:hAnsi="Arial" w:cs="Arial"/>
          <w:lang w:val="en-ZA"/>
        </w:rPr>
        <w:t xml:space="preserve"> </w:t>
      </w:r>
      <w:r w:rsidR="00ED6A75" w:rsidRPr="00FA14D9">
        <w:rPr>
          <w:rFonts w:ascii="Arial" w:hAnsi="Arial" w:cs="Arial"/>
          <w:lang w:val="en-ZA"/>
        </w:rPr>
        <w:t>to ensure updated and related expertise</w:t>
      </w:r>
      <w:r>
        <w:rPr>
          <w:rFonts w:ascii="Arial" w:hAnsi="Arial" w:cs="Arial"/>
          <w:lang w:val="en-ZA"/>
        </w:rPr>
        <w:t xml:space="preserve"> amongst prosecut</w:t>
      </w:r>
      <w:r w:rsidR="00805ABF">
        <w:rPr>
          <w:rFonts w:ascii="Arial" w:hAnsi="Arial" w:cs="Arial"/>
          <w:lang w:val="en-ZA"/>
        </w:rPr>
        <w:t>o</w:t>
      </w:r>
      <w:r>
        <w:rPr>
          <w:rFonts w:ascii="Arial" w:hAnsi="Arial" w:cs="Arial"/>
          <w:lang w:val="en-ZA"/>
        </w:rPr>
        <w:t>rs</w:t>
      </w:r>
      <w:r w:rsidR="00ED6A75" w:rsidRPr="00FA14D9">
        <w:rPr>
          <w:rFonts w:ascii="Arial" w:hAnsi="Arial" w:cs="Arial"/>
          <w:lang w:val="en-ZA"/>
        </w:rPr>
        <w:t xml:space="preserve">. Comprehensive training manuals were researched and developed in line with </w:t>
      </w:r>
      <w:r w:rsidR="004D2EC7">
        <w:rPr>
          <w:rFonts w:ascii="Arial" w:hAnsi="Arial" w:cs="Arial"/>
          <w:lang w:val="en-ZA"/>
        </w:rPr>
        <w:t>the latest developments in law. I</w:t>
      </w:r>
      <w:r w:rsidR="009569FA">
        <w:rPr>
          <w:rFonts w:ascii="Arial" w:hAnsi="Arial" w:cs="Arial"/>
          <w:lang w:val="en-ZA"/>
        </w:rPr>
        <w:t xml:space="preserve">n particular, the </w:t>
      </w:r>
      <w:r w:rsidR="009569FA" w:rsidRPr="00FA14D9">
        <w:rPr>
          <w:rFonts w:ascii="Arial" w:hAnsi="Arial" w:cs="Arial"/>
          <w:lang w:val="en-ZA"/>
        </w:rPr>
        <w:t>S</w:t>
      </w:r>
      <w:r w:rsidR="009569FA">
        <w:rPr>
          <w:rFonts w:ascii="Arial" w:hAnsi="Arial" w:cs="Arial"/>
          <w:lang w:val="en-ZA"/>
        </w:rPr>
        <w:t xml:space="preserve">exual </w:t>
      </w:r>
      <w:r w:rsidR="009569FA" w:rsidRPr="00FA14D9">
        <w:rPr>
          <w:rFonts w:ascii="Arial" w:hAnsi="Arial" w:cs="Arial"/>
          <w:lang w:val="en-ZA"/>
        </w:rPr>
        <w:t>O</w:t>
      </w:r>
      <w:r w:rsidR="009569FA">
        <w:rPr>
          <w:rFonts w:ascii="Arial" w:hAnsi="Arial" w:cs="Arial"/>
          <w:lang w:val="en-ZA"/>
        </w:rPr>
        <w:t xml:space="preserve">ffences and </w:t>
      </w:r>
      <w:r w:rsidR="009569FA" w:rsidRPr="00FA14D9">
        <w:rPr>
          <w:rFonts w:ascii="Arial" w:hAnsi="Arial" w:cs="Arial"/>
          <w:lang w:val="en-ZA"/>
        </w:rPr>
        <w:t>C</w:t>
      </w:r>
      <w:r w:rsidR="009569FA">
        <w:rPr>
          <w:rFonts w:ascii="Arial" w:hAnsi="Arial" w:cs="Arial"/>
          <w:lang w:val="en-ZA"/>
        </w:rPr>
        <w:t xml:space="preserve">ommunity </w:t>
      </w:r>
      <w:r w:rsidR="009569FA" w:rsidRPr="00FA14D9">
        <w:rPr>
          <w:rFonts w:ascii="Arial" w:hAnsi="Arial" w:cs="Arial"/>
          <w:lang w:val="en-ZA"/>
        </w:rPr>
        <w:t>A</w:t>
      </w:r>
      <w:r w:rsidR="009569FA">
        <w:rPr>
          <w:rFonts w:ascii="Arial" w:hAnsi="Arial" w:cs="Arial"/>
          <w:lang w:val="en-ZA"/>
        </w:rPr>
        <w:t>ffairs u</w:t>
      </w:r>
      <w:r w:rsidR="009569FA" w:rsidRPr="00FA14D9">
        <w:rPr>
          <w:rFonts w:ascii="Arial" w:hAnsi="Arial" w:cs="Arial"/>
          <w:lang w:val="en-ZA"/>
        </w:rPr>
        <w:t xml:space="preserve">nit </w:t>
      </w:r>
      <w:r w:rsidR="009569FA">
        <w:rPr>
          <w:rFonts w:ascii="Arial" w:hAnsi="Arial" w:cs="Arial"/>
          <w:lang w:val="en-ZA"/>
        </w:rPr>
        <w:t xml:space="preserve">has </w:t>
      </w:r>
      <w:r w:rsidR="009569FA" w:rsidRPr="00FA14D9">
        <w:rPr>
          <w:rFonts w:ascii="Arial" w:hAnsi="Arial" w:cs="Arial"/>
          <w:lang w:val="en-ZA"/>
        </w:rPr>
        <w:t xml:space="preserve">developed specialised training manuals for prosecutors, on sexual offences (including social context training), domestic violence, maintenance, child justice and trafficking in </w:t>
      </w:r>
      <w:r w:rsidR="009569FA" w:rsidRPr="00FA14D9">
        <w:rPr>
          <w:rFonts w:ascii="Arial" w:hAnsi="Arial" w:cs="Arial"/>
          <w:lang w:val="en-ZA"/>
        </w:rPr>
        <w:lastRenderedPageBreak/>
        <w:t xml:space="preserve">persons. In addition, the unit developed an integrated stakeholder manual for those directly involved at TCCs and Court preparation officers. </w:t>
      </w:r>
    </w:p>
    <w:p w:rsidR="00D746E1" w:rsidRDefault="00D746E1" w:rsidP="00877CD6">
      <w:pPr>
        <w:numPr>
          <w:ilvl w:val="0"/>
          <w:numId w:val="6"/>
        </w:numPr>
        <w:spacing w:before="120" w:after="120" w:line="360" w:lineRule="auto"/>
        <w:jc w:val="both"/>
        <w:rPr>
          <w:rFonts w:ascii="Arial" w:hAnsi="Arial" w:cs="Arial"/>
          <w:lang w:val="en-ZA"/>
        </w:rPr>
      </w:pPr>
      <w:r w:rsidRPr="00FA14D9">
        <w:rPr>
          <w:rFonts w:ascii="Arial" w:hAnsi="Arial" w:cs="Arial"/>
          <w:lang w:val="en-ZA"/>
        </w:rPr>
        <w:t xml:space="preserve">Training has been conducted with domestic violence Clerks of Courts in four (4) provinces namely: Gauteng, KwaZulu-Natal, Mpumalanga and Northern Cape on the National Codified Instructions of Domestic Violence. It is envisaged that this will assist clerks </w:t>
      </w:r>
      <w:r w:rsidR="006D533A">
        <w:rPr>
          <w:rFonts w:ascii="Arial" w:hAnsi="Arial" w:cs="Arial"/>
          <w:lang w:val="en-ZA"/>
        </w:rPr>
        <w:t xml:space="preserve">to </w:t>
      </w:r>
      <w:r w:rsidRPr="00FA14D9">
        <w:rPr>
          <w:rFonts w:ascii="Arial" w:hAnsi="Arial" w:cs="Arial"/>
          <w:lang w:val="en-ZA"/>
        </w:rPr>
        <w:t>provide an effective service to complainants when they arrive at court for recourse on domestic violence matters.</w:t>
      </w:r>
    </w:p>
    <w:p w:rsidR="00D746E1" w:rsidRDefault="00805ABF" w:rsidP="00877CD6">
      <w:pPr>
        <w:numPr>
          <w:ilvl w:val="0"/>
          <w:numId w:val="6"/>
        </w:numPr>
        <w:spacing w:before="120" w:after="120" w:line="360" w:lineRule="auto"/>
        <w:jc w:val="both"/>
        <w:rPr>
          <w:rFonts w:ascii="Arial" w:hAnsi="Arial" w:cs="Arial"/>
          <w:lang w:val="en-ZA"/>
        </w:rPr>
      </w:pPr>
      <w:r>
        <w:rPr>
          <w:rFonts w:ascii="Arial" w:hAnsi="Arial" w:cs="Arial"/>
          <w:lang w:val="en-ZA"/>
        </w:rPr>
        <w:t xml:space="preserve">The South African Judicial Education Institute provides </w:t>
      </w:r>
      <w:r w:rsidR="00091E7A">
        <w:rPr>
          <w:rFonts w:ascii="Arial" w:hAnsi="Arial" w:cs="Arial"/>
          <w:lang w:val="en-ZA"/>
        </w:rPr>
        <w:t xml:space="preserve">(SAJEI) </w:t>
      </w:r>
      <w:r>
        <w:rPr>
          <w:rFonts w:ascii="Arial" w:hAnsi="Arial" w:cs="Arial"/>
          <w:lang w:val="en-ZA"/>
        </w:rPr>
        <w:t xml:space="preserve">gender sensitivity training to newly appointed </w:t>
      </w:r>
      <w:r w:rsidR="004D2EC7">
        <w:rPr>
          <w:rFonts w:ascii="Arial" w:hAnsi="Arial" w:cs="Arial"/>
          <w:lang w:val="en-ZA"/>
        </w:rPr>
        <w:t xml:space="preserve">and serving judicial officers. </w:t>
      </w:r>
      <w:r>
        <w:rPr>
          <w:rFonts w:ascii="Arial" w:hAnsi="Arial" w:cs="Arial"/>
          <w:lang w:val="en-ZA"/>
        </w:rPr>
        <w:t>The exact number of judicial officers trained in the previous financial year has been requested fr</w:t>
      </w:r>
      <w:r w:rsidR="00091E7A">
        <w:rPr>
          <w:rFonts w:ascii="Arial" w:hAnsi="Arial" w:cs="Arial"/>
          <w:lang w:val="en-ZA"/>
        </w:rPr>
        <w:t>om SAJEI.</w:t>
      </w:r>
      <w:r w:rsidR="00076A3F">
        <w:rPr>
          <w:rFonts w:ascii="Arial" w:hAnsi="Arial" w:cs="Arial"/>
          <w:lang w:val="en-ZA"/>
        </w:rPr>
        <w:t xml:space="preserve"> The Office of the Chief Justice has informed the Department of Justic</w:t>
      </w:r>
      <w:r w:rsidR="006D533A">
        <w:rPr>
          <w:rFonts w:ascii="Arial" w:hAnsi="Arial" w:cs="Arial"/>
          <w:lang w:val="en-ZA"/>
        </w:rPr>
        <w:t>e</w:t>
      </w:r>
      <w:r w:rsidR="00076A3F">
        <w:rPr>
          <w:rFonts w:ascii="Arial" w:hAnsi="Arial" w:cs="Arial"/>
          <w:lang w:val="en-ZA"/>
        </w:rPr>
        <w:t xml:space="preserve"> and Constitutional Development that a total number of 187 District Magistrates were provided with gender-sensitive training during the 2019/20 financial year. The training programmes focused on Domestic Violence, Protection from Harassment Act and Older Persons Act.</w:t>
      </w:r>
    </w:p>
    <w:p w:rsidR="004F4B6D" w:rsidRPr="00CF35A0" w:rsidRDefault="004F4B6D" w:rsidP="00877CD6">
      <w:pPr>
        <w:numPr>
          <w:ilvl w:val="0"/>
          <w:numId w:val="6"/>
        </w:numPr>
        <w:spacing w:before="120" w:after="120" w:line="360" w:lineRule="auto"/>
        <w:jc w:val="both"/>
        <w:rPr>
          <w:rFonts w:ascii="Arial" w:hAnsi="Arial" w:cs="Arial"/>
          <w:lang w:val="en-ZA"/>
        </w:rPr>
      </w:pPr>
      <w:r w:rsidRPr="00CF35A0">
        <w:rPr>
          <w:rFonts w:ascii="Arial" w:hAnsi="Arial" w:cs="Arial"/>
          <w:lang w:val="en-ZA"/>
        </w:rPr>
        <w:t xml:space="preserve">In the 2019/20 financial year the Justice College trained court officials as per the table below: </w:t>
      </w:r>
    </w:p>
    <w:p w:rsidR="004F4B6D" w:rsidRPr="00CF35A0" w:rsidRDefault="004F4B6D" w:rsidP="004F4B6D">
      <w:pPr>
        <w:spacing w:before="120" w:after="120" w:line="360" w:lineRule="auto"/>
        <w:ind w:left="720"/>
        <w:jc w:val="both"/>
        <w:rPr>
          <w:rFonts w:ascii="Arial" w:hAnsi="Arial" w:cs="Arial"/>
          <w:lang w:val="en-Z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53"/>
      </w:tblGrid>
      <w:tr w:rsidR="005D6FCB" w:rsidRPr="00CF35A0" w:rsidTr="00DF192E">
        <w:tc>
          <w:tcPr>
            <w:tcW w:w="3082" w:type="dxa"/>
            <w:shd w:val="clear" w:color="auto" w:fill="auto"/>
          </w:tcPr>
          <w:p w:rsidR="005D6FCB" w:rsidRPr="00CF35A0" w:rsidRDefault="005D6FCB" w:rsidP="00DF192E">
            <w:pPr>
              <w:spacing w:before="120" w:after="120" w:line="360" w:lineRule="auto"/>
              <w:jc w:val="both"/>
              <w:rPr>
                <w:rFonts w:ascii="Arial" w:hAnsi="Arial" w:cs="Arial"/>
                <w:b/>
                <w:lang w:val="en-ZA"/>
              </w:rPr>
            </w:pPr>
            <w:r w:rsidRPr="00CF35A0">
              <w:rPr>
                <w:rFonts w:ascii="Arial" w:hAnsi="Arial" w:cs="Arial"/>
                <w:b/>
                <w:lang w:val="en-ZA"/>
              </w:rPr>
              <w:t>Programme</w:t>
            </w:r>
          </w:p>
        </w:tc>
        <w:tc>
          <w:tcPr>
            <w:tcW w:w="3053" w:type="dxa"/>
            <w:shd w:val="clear" w:color="auto" w:fill="auto"/>
          </w:tcPr>
          <w:p w:rsidR="005D6FCB" w:rsidRPr="00CF35A0" w:rsidRDefault="005D6FCB" w:rsidP="00DF192E">
            <w:pPr>
              <w:spacing w:before="120" w:after="120" w:line="360" w:lineRule="auto"/>
              <w:jc w:val="both"/>
              <w:rPr>
                <w:rFonts w:ascii="Arial" w:hAnsi="Arial" w:cs="Arial"/>
                <w:b/>
                <w:lang w:val="en-ZA"/>
              </w:rPr>
            </w:pPr>
            <w:r w:rsidRPr="00CF35A0">
              <w:rPr>
                <w:rFonts w:ascii="Arial" w:hAnsi="Arial" w:cs="Arial"/>
                <w:b/>
                <w:lang w:val="en-ZA"/>
              </w:rPr>
              <w:t>Court Officials</w:t>
            </w:r>
          </w:p>
        </w:tc>
      </w:tr>
      <w:tr w:rsidR="005D6FCB" w:rsidRPr="00CF35A0" w:rsidTr="00DF192E">
        <w:tc>
          <w:tcPr>
            <w:tcW w:w="3082"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Equality Courts Training</w:t>
            </w:r>
          </w:p>
        </w:tc>
        <w:tc>
          <w:tcPr>
            <w:tcW w:w="3053"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34</w:t>
            </w:r>
          </w:p>
        </w:tc>
      </w:tr>
      <w:tr w:rsidR="005D6FCB" w:rsidRPr="00CF35A0" w:rsidTr="00DF192E">
        <w:tc>
          <w:tcPr>
            <w:tcW w:w="3082"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Protection from Harassment</w:t>
            </w:r>
          </w:p>
        </w:tc>
        <w:tc>
          <w:tcPr>
            <w:tcW w:w="3053"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147</w:t>
            </w:r>
          </w:p>
        </w:tc>
      </w:tr>
      <w:tr w:rsidR="00CF35A0" w:rsidRPr="00CF35A0" w:rsidTr="00DF192E">
        <w:tc>
          <w:tcPr>
            <w:tcW w:w="3082"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Sexual Offences and Child Justice Act</w:t>
            </w:r>
            <w:r w:rsidR="00CF35A0">
              <w:rPr>
                <w:rFonts w:ascii="Arial" w:hAnsi="Arial" w:cs="Arial"/>
                <w:lang w:val="en-ZA"/>
              </w:rPr>
              <w:t>s</w:t>
            </w:r>
          </w:p>
        </w:tc>
        <w:tc>
          <w:tcPr>
            <w:tcW w:w="3053" w:type="dxa"/>
            <w:shd w:val="clear" w:color="auto" w:fill="auto"/>
          </w:tcPr>
          <w:p w:rsidR="005D6FCB" w:rsidRPr="00CF35A0" w:rsidRDefault="005D6FCB" w:rsidP="00DF192E">
            <w:pPr>
              <w:spacing w:before="120" w:after="120" w:line="360" w:lineRule="auto"/>
              <w:jc w:val="both"/>
              <w:rPr>
                <w:rFonts w:ascii="Arial" w:hAnsi="Arial" w:cs="Arial"/>
                <w:lang w:val="en-ZA"/>
              </w:rPr>
            </w:pPr>
            <w:r w:rsidRPr="00CF35A0">
              <w:rPr>
                <w:rFonts w:ascii="Arial" w:hAnsi="Arial" w:cs="Arial"/>
                <w:lang w:val="en-ZA"/>
              </w:rPr>
              <w:t>36</w:t>
            </w:r>
          </w:p>
        </w:tc>
      </w:tr>
    </w:tbl>
    <w:p w:rsidR="00091E7A" w:rsidRPr="00CF35A0" w:rsidRDefault="00091E7A" w:rsidP="00091E7A">
      <w:pPr>
        <w:spacing w:before="120" w:after="120" w:line="360" w:lineRule="auto"/>
        <w:ind w:left="720"/>
        <w:jc w:val="both"/>
        <w:rPr>
          <w:rFonts w:ascii="Arial" w:hAnsi="Arial" w:cs="Arial"/>
          <w:lang w:val="en-ZA"/>
        </w:rPr>
      </w:pPr>
    </w:p>
    <w:p w:rsidR="00A739E4" w:rsidRDefault="0027220F" w:rsidP="00877CD6">
      <w:pPr>
        <w:numPr>
          <w:ilvl w:val="0"/>
          <w:numId w:val="4"/>
        </w:numPr>
        <w:spacing w:before="120" w:after="120" w:line="360" w:lineRule="auto"/>
        <w:jc w:val="both"/>
        <w:rPr>
          <w:rFonts w:ascii="Arial" w:hAnsi="Arial" w:cs="Arial"/>
          <w:lang w:val="en-ZA"/>
        </w:rPr>
      </w:pPr>
      <w:r>
        <w:rPr>
          <w:rFonts w:ascii="Arial" w:hAnsi="Arial" w:cs="Arial"/>
          <w:lang w:val="en-ZA"/>
        </w:rPr>
        <w:t>(a) I</w:t>
      </w:r>
      <w:r w:rsidR="00A739E4">
        <w:rPr>
          <w:rFonts w:ascii="Arial" w:hAnsi="Arial" w:cs="Arial"/>
          <w:lang w:val="en-ZA"/>
        </w:rPr>
        <w:t xml:space="preserve">t </w:t>
      </w:r>
      <w:r w:rsidR="00DA55D5">
        <w:rPr>
          <w:rFonts w:ascii="Arial" w:hAnsi="Arial" w:cs="Arial"/>
          <w:lang w:val="en-ZA"/>
        </w:rPr>
        <w:t xml:space="preserve">is </w:t>
      </w:r>
      <w:r w:rsidR="00A739E4">
        <w:rPr>
          <w:rFonts w:ascii="Arial" w:hAnsi="Arial" w:cs="Arial"/>
          <w:lang w:val="en-ZA"/>
        </w:rPr>
        <w:t xml:space="preserve">inevitable that the national state of disaster and subsequent national Lockdown declared by the President following the outbreak of the COVID 19 </w:t>
      </w:r>
      <w:r w:rsidR="00A739E4">
        <w:rPr>
          <w:rFonts w:ascii="Arial" w:hAnsi="Arial" w:cs="Arial"/>
          <w:lang w:val="en-ZA"/>
        </w:rPr>
        <w:lastRenderedPageBreak/>
        <w:t xml:space="preserve">pandemic will lead to exponential increase in case backlogs across all </w:t>
      </w:r>
      <w:r w:rsidR="004D2EC7">
        <w:rPr>
          <w:rFonts w:ascii="Arial" w:hAnsi="Arial" w:cs="Arial"/>
          <w:lang w:val="en-ZA"/>
        </w:rPr>
        <w:t>the</w:t>
      </w:r>
      <w:r w:rsidR="00DA55D5">
        <w:rPr>
          <w:rFonts w:ascii="Arial" w:hAnsi="Arial" w:cs="Arial"/>
          <w:lang w:val="en-ZA"/>
        </w:rPr>
        <w:t xml:space="preserve"> tiers of our court system. </w:t>
      </w:r>
      <w:r w:rsidR="00A739E4" w:rsidRPr="00D54B71">
        <w:rPr>
          <w:rFonts w:ascii="Arial" w:hAnsi="Arial" w:cs="Arial"/>
          <w:lang w:val="en-ZA"/>
        </w:rPr>
        <w:t>The Regional Court, which prior to the</w:t>
      </w:r>
      <w:r w:rsidR="00091E7A" w:rsidRPr="00D54B71">
        <w:rPr>
          <w:rFonts w:ascii="Arial" w:hAnsi="Arial" w:cs="Arial"/>
          <w:lang w:val="en-ZA"/>
        </w:rPr>
        <w:t xml:space="preserve"> national lockdown experienced</w:t>
      </w:r>
      <w:r w:rsidR="00091E7A" w:rsidRPr="00D54B71">
        <w:rPr>
          <w:color w:val="1F497D"/>
        </w:rPr>
        <w:t xml:space="preserve"> </w:t>
      </w:r>
      <w:r w:rsidR="00076A3F" w:rsidRPr="00076A3F">
        <w:rPr>
          <w:rFonts w:ascii="Arial" w:hAnsi="Arial" w:cs="Arial"/>
        </w:rPr>
        <w:t xml:space="preserve">6 801 </w:t>
      </w:r>
      <w:r w:rsidR="00076A3F">
        <w:rPr>
          <w:rFonts w:ascii="Arial" w:hAnsi="Arial" w:cs="Arial"/>
        </w:rPr>
        <w:t xml:space="preserve">cases, </w:t>
      </w:r>
      <w:r w:rsidR="00A739E4" w:rsidRPr="00D54B71">
        <w:rPr>
          <w:rFonts w:ascii="Arial" w:hAnsi="Arial" w:cs="Arial"/>
          <w:lang w:val="en-ZA"/>
        </w:rPr>
        <w:t>will be the most overburdened.</w:t>
      </w:r>
      <w:r w:rsidR="00A739E4">
        <w:rPr>
          <w:rFonts w:ascii="Arial" w:hAnsi="Arial" w:cs="Arial"/>
          <w:lang w:val="en-ZA"/>
        </w:rPr>
        <w:t xml:space="preserve"> </w:t>
      </w:r>
      <w:r w:rsidR="00076A3F">
        <w:rPr>
          <w:rFonts w:ascii="Arial" w:hAnsi="Arial" w:cs="Arial"/>
          <w:lang w:val="en-ZA"/>
        </w:rPr>
        <w:t xml:space="preserve"> The total Regional Court Cases</w:t>
      </w:r>
      <w:r w:rsidR="0007015D">
        <w:rPr>
          <w:rFonts w:ascii="Arial" w:hAnsi="Arial" w:cs="Arial"/>
          <w:lang w:val="en-ZA"/>
        </w:rPr>
        <w:t xml:space="preserve"> currently</w:t>
      </w:r>
      <w:r w:rsidR="00076A3F">
        <w:rPr>
          <w:rFonts w:ascii="Arial" w:hAnsi="Arial" w:cs="Arial"/>
          <w:lang w:val="en-ZA"/>
        </w:rPr>
        <w:t xml:space="preserve">, </w:t>
      </w:r>
      <w:r w:rsidR="006D533A">
        <w:rPr>
          <w:rFonts w:ascii="Arial" w:hAnsi="Arial" w:cs="Arial"/>
          <w:lang w:val="en-ZA"/>
        </w:rPr>
        <w:t xml:space="preserve">are </w:t>
      </w:r>
      <w:r w:rsidR="00076A3F">
        <w:rPr>
          <w:rFonts w:ascii="Arial" w:hAnsi="Arial" w:cs="Arial"/>
          <w:lang w:val="en-ZA"/>
        </w:rPr>
        <w:t xml:space="preserve">7 651, which is a difference of 850 cases. </w:t>
      </w:r>
    </w:p>
    <w:p w:rsidR="0027220F" w:rsidRDefault="0027220F" w:rsidP="00877CD6">
      <w:pPr>
        <w:numPr>
          <w:ilvl w:val="0"/>
          <w:numId w:val="7"/>
        </w:numPr>
        <w:spacing w:before="120" w:after="120" w:line="360" w:lineRule="auto"/>
        <w:jc w:val="both"/>
        <w:rPr>
          <w:rFonts w:ascii="Arial" w:hAnsi="Arial" w:cs="Arial"/>
          <w:lang w:val="en-ZA"/>
        </w:rPr>
      </w:pPr>
      <w:r>
        <w:rPr>
          <w:rFonts w:ascii="Arial" w:hAnsi="Arial" w:cs="Arial"/>
          <w:lang w:val="en-ZA"/>
        </w:rPr>
        <w:t xml:space="preserve">Whilst under the Alert level 5 Lockdown courts dealt mainly with postponement and bail applications, during Alert Level 4 Lockdown sexual offences and domestic violence have been prioritised for trial. </w:t>
      </w:r>
    </w:p>
    <w:p w:rsidR="0027220F" w:rsidRDefault="0027220F" w:rsidP="00877CD6">
      <w:pPr>
        <w:numPr>
          <w:ilvl w:val="0"/>
          <w:numId w:val="8"/>
        </w:numPr>
        <w:spacing w:before="120" w:after="120" w:line="360" w:lineRule="auto"/>
        <w:jc w:val="both"/>
        <w:rPr>
          <w:rFonts w:ascii="Arial" w:hAnsi="Arial" w:cs="Arial"/>
          <w:lang w:val="en-ZA"/>
        </w:rPr>
      </w:pPr>
      <w:r>
        <w:rPr>
          <w:rFonts w:ascii="Arial" w:hAnsi="Arial" w:cs="Arial"/>
          <w:lang w:val="en-ZA"/>
        </w:rPr>
        <w:t>The Directions</w:t>
      </w:r>
      <w:r w:rsidR="006D533A">
        <w:rPr>
          <w:rFonts w:ascii="Arial" w:hAnsi="Arial" w:cs="Arial"/>
          <w:lang w:val="en-ZA"/>
        </w:rPr>
        <w:t>’</w:t>
      </w:r>
      <w:r>
        <w:rPr>
          <w:rFonts w:ascii="Arial" w:hAnsi="Arial" w:cs="Arial"/>
          <w:lang w:val="en-ZA"/>
        </w:rPr>
        <w:t xml:space="preserve"> lists published under Alert Level 4 list sexual offences and gender-based violence cases in the Annexure of Permitted Services. </w:t>
      </w:r>
    </w:p>
    <w:p w:rsidR="001F3A54" w:rsidRDefault="001F3A54" w:rsidP="00532994">
      <w:pPr>
        <w:spacing w:line="360" w:lineRule="auto"/>
        <w:ind w:left="1440"/>
        <w:jc w:val="both"/>
        <w:rPr>
          <w:rFonts w:ascii="Arial" w:hAnsi="Arial" w:cs="Arial"/>
        </w:rPr>
      </w:pPr>
      <w:r>
        <w:rPr>
          <w:rFonts w:ascii="Arial" w:hAnsi="Arial" w:cs="Arial"/>
          <w:lang w:val="en-ZA"/>
        </w:rPr>
        <w:t xml:space="preserve">In terms of the adopted plan, the </w:t>
      </w:r>
      <w:r w:rsidR="0027220F">
        <w:rPr>
          <w:rFonts w:ascii="Arial" w:hAnsi="Arial" w:cs="Arial"/>
          <w:lang w:val="en-ZA"/>
        </w:rPr>
        <w:t>Department</w:t>
      </w:r>
      <w:r>
        <w:rPr>
          <w:rFonts w:ascii="Arial" w:hAnsi="Arial" w:cs="Arial"/>
          <w:lang w:val="en-ZA"/>
        </w:rPr>
        <w:t xml:space="preserve"> </w:t>
      </w:r>
      <w:r>
        <w:rPr>
          <w:rFonts w:ascii="Arial" w:hAnsi="Arial" w:cs="Arial"/>
        </w:rPr>
        <w:t>collates all cases that were postponed in absentia during the national state of disaster and Lockdown and those which were not placed on the roll due to the lockdown. The</w:t>
      </w:r>
      <w:r w:rsidR="00076A3F">
        <w:rPr>
          <w:rFonts w:ascii="Arial" w:hAnsi="Arial" w:cs="Arial"/>
        </w:rPr>
        <w:t>s</w:t>
      </w:r>
      <w:r>
        <w:rPr>
          <w:rFonts w:ascii="Arial" w:hAnsi="Arial" w:cs="Arial"/>
        </w:rPr>
        <w:t xml:space="preserve">e cases are collated on </w:t>
      </w:r>
      <w:r w:rsidR="006D533A">
        <w:rPr>
          <w:rFonts w:ascii="Arial" w:hAnsi="Arial" w:cs="Arial"/>
        </w:rPr>
        <w:t xml:space="preserve">a </w:t>
      </w:r>
      <w:r>
        <w:rPr>
          <w:rFonts w:ascii="Arial" w:hAnsi="Arial" w:cs="Arial"/>
        </w:rPr>
        <w:t xml:space="preserve">weekly basis and placed on a priority roll of each court. The existing structured </w:t>
      </w:r>
      <w:r w:rsidR="00050FF9">
        <w:rPr>
          <w:rFonts w:ascii="Arial" w:hAnsi="Arial" w:cs="Arial"/>
        </w:rPr>
        <w:t>case flow</w:t>
      </w:r>
      <w:r>
        <w:rPr>
          <w:rFonts w:ascii="Arial" w:hAnsi="Arial" w:cs="Arial"/>
        </w:rPr>
        <w:t xml:space="preserve"> management </w:t>
      </w:r>
      <w:r w:rsidR="00050FF9">
        <w:rPr>
          <w:rFonts w:ascii="Arial" w:hAnsi="Arial" w:cs="Arial"/>
        </w:rPr>
        <w:t>meetings occur</w:t>
      </w:r>
      <w:r>
        <w:rPr>
          <w:rFonts w:ascii="Arial" w:hAnsi="Arial" w:cs="Arial"/>
        </w:rPr>
        <w:t xml:space="preserve"> through the Provincial Efficiency Enhancement Committee (PEECs chaired by J</w:t>
      </w:r>
      <w:r w:rsidR="006D533A">
        <w:rPr>
          <w:rFonts w:ascii="Arial" w:hAnsi="Arial" w:cs="Arial"/>
        </w:rPr>
        <w:t xml:space="preserve">udges </w:t>
      </w:r>
      <w:r>
        <w:rPr>
          <w:rFonts w:ascii="Arial" w:hAnsi="Arial" w:cs="Arial"/>
        </w:rPr>
        <w:t>P</w:t>
      </w:r>
      <w:r w:rsidR="006D533A">
        <w:rPr>
          <w:rFonts w:ascii="Arial" w:hAnsi="Arial" w:cs="Arial"/>
        </w:rPr>
        <w:t>resident</w:t>
      </w:r>
      <w:r>
        <w:rPr>
          <w:rFonts w:ascii="Arial" w:hAnsi="Arial" w:cs="Arial"/>
        </w:rPr>
        <w:t>), Regional Efficiency Enhancement Committee (REECs chaired by the Regional Court President</w:t>
      </w:r>
      <w:r w:rsidR="006D533A">
        <w:rPr>
          <w:rFonts w:ascii="Arial" w:hAnsi="Arial" w:cs="Arial"/>
        </w:rPr>
        <w:t>s</w:t>
      </w:r>
      <w:r>
        <w:rPr>
          <w:rFonts w:ascii="Arial" w:hAnsi="Arial" w:cs="Arial"/>
        </w:rPr>
        <w:t xml:space="preserve">) and the District Efficiency Enhancement Committees (DEECs chaired by the Chief Magistrates in the districts). It will be recommended that the PEECs, REECs and DEECs where all stakeholders are represented, including the organised legal profession, will manage these cases in their quarterly meetings.  </w:t>
      </w:r>
    </w:p>
    <w:p w:rsidR="001F3A54" w:rsidRDefault="001F3A54" w:rsidP="00877CD6">
      <w:pPr>
        <w:numPr>
          <w:ilvl w:val="0"/>
          <w:numId w:val="8"/>
        </w:numPr>
        <w:spacing w:before="120" w:after="120" w:line="360" w:lineRule="auto"/>
        <w:jc w:val="both"/>
        <w:rPr>
          <w:rFonts w:ascii="Arial" w:hAnsi="Arial" w:cs="Arial"/>
        </w:rPr>
      </w:pPr>
      <w:r>
        <w:rPr>
          <w:rFonts w:ascii="Arial" w:hAnsi="Arial" w:cs="Arial"/>
        </w:rPr>
        <w:t xml:space="preserve">The priority roll in every court will incorporate all cases which have been listed on the Annexure to the Directions as Permitted Services under Level 4 Lockdown. These cases include corruption, including corruption relating to COVID 19 procurement, gender-based violence, robbery and other serious offences listed in the Annexure. </w:t>
      </w:r>
    </w:p>
    <w:p w:rsidR="001F3A54" w:rsidRDefault="001F3A54" w:rsidP="00877CD6">
      <w:pPr>
        <w:numPr>
          <w:ilvl w:val="0"/>
          <w:numId w:val="8"/>
        </w:numPr>
        <w:spacing w:before="120" w:after="120" w:line="360" w:lineRule="auto"/>
        <w:jc w:val="both"/>
        <w:rPr>
          <w:rFonts w:ascii="Arial" w:hAnsi="Arial" w:cs="Arial"/>
        </w:rPr>
      </w:pPr>
      <w:r>
        <w:rPr>
          <w:rFonts w:ascii="Arial" w:hAnsi="Arial" w:cs="Arial"/>
        </w:rPr>
        <w:t xml:space="preserve">Cases which are not placed on the priority roll will then be postponed for dates far away in the future.  </w:t>
      </w:r>
    </w:p>
    <w:p w:rsidR="00805ABF" w:rsidRDefault="001F3A54" w:rsidP="00877CD6">
      <w:pPr>
        <w:numPr>
          <w:ilvl w:val="0"/>
          <w:numId w:val="8"/>
        </w:numPr>
        <w:spacing w:before="120" w:after="120" w:line="360" w:lineRule="auto"/>
        <w:jc w:val="both"/>
        <w:rPr>
          <w:rFonts w:ascii="Arial" w:hAnsi="Arial" w:cs="Arial"/>
          <w:lang w:val="en-ZA"/>
        </w:rPr>
      </w:pPr>
      <w:r>
        <w:rPr>
          <w:rFonts w:ascii="Arial" w:hAnsi="Arial" w:cs="Arial"/>
        </w:rPr>
        <w:lastRenderedPageBreak/>
        <w:t>Other mechanisms to resolve these case</w:t>
      </w:r>
      <w:r w:rsidR="006D533A">
        <w:rPr>
          <w:rFonts w:ascii="Arial" w:hAnsi="Arial" w:cs="Arial"/>
        </w:rPr>
        <w:t>s</w:t>
      </w:r>
      <w:r>
        <w:rPr>
          <w:rFonts w:ascii="Arial" w:hAnsi="Arial" w:cs="Arial"/>
        </w:rPr>
        <w:t>, in particular civil cases, will be settled through Alternative</w:t>
      </w:r>
      <w:r w:rsidR="00091E7A">
        <w:rPr>
          <w:rFonts w:ascii="Arial" w:hAnsi="Arial" w:cs="Arial"/>
        </w:rPr>
        <w:t xml:space="preserve"> Dispute Resolution (ADR) mechanism</w:t>
      </w:r>
      <w:r w:rsidR="006D533A">
        <w:rPr>
          <w:rFonts w:ascii="Arial" w:hAnsi="Arial" w:cs="Arial"/>
        </w:rPr>
        <w:t>s</w:t>
      </w:r>
      <w:r w:rsidR="00091E7A">
        <w:rPr>
          <w:rFonts w:ascii="Arial" w:hAnsi="Arial" w:cs="Arial"/>
        </w:rPr>
        <w:t xml:space="preserve">. </w:t>
      </w:r>
      <w:r>
        <w:rPr>
          <w:rFonts w:ascii="Arial" w:hAnsi="Arial" w:cs="Arial"/>
        </w:rPr>
        <w:t>It is in this context that services of Judges discharged from active services and accredited mediators will be solicited. A protocol is being developed to enlist services of retired judges</w:t>
      </w:r>
      <w:r w:rsidR="00DB0B3D">
        <w:rPr>
          <w:rFonts w:ascii="Arial" w:hAnsi="Arial" w:cs="Arial"/>
        </w:rPr>
        <w:t>,</w:t>
      </w:r>
      <w:r>
        <w:rPr>
          <w:rFonts w:ascii="Arial" w:hAnsi="Arial" w:cs="Arial"/>
        </w:rPr>
        <w:t xml:space="preserve"> and the office of the Solicitor-General is already inundated with request</w:t>
      </w:r>
      <w:r w:rsidR="006D533A">
        <w:rPr>
          <w:rFonts w:ascii="Arial" w:hAnsi="Arial" w:cs="Arial"/>
        </w:rPr>
        <w:t>s</w:t>
      </w:r>
      <w:r>
        <w:rPr>
          <w:rFonts w:ascii="Arial" w:hAnsi="Arial" w:cs="Arial"/>
        </w:rPr>
        <w:t xml:space="preserve"> for diversion of their disputes through ADR</w:t>
      </w:r>
      <w:r w:rsidR="00DB0B3D">
        <w:rPr>
          <w:rFonts w:ascii="Arial" w:hAnsi="Arial" w:cs="Arial"/>
        </w:rPr>
        <w:t>.</w:t>
      </w:r>
    </w:p>
    <w:p w:rsidR="00A739E4" w:rsidRPr="00A739E4" w:rsidRDefault="006D533A" w:rsidP="00877CD6">
      <w:pPr>
        <w:numPr>
          <w:ilvl w:val="0"/>
          <w:numId w:val="8"/>
        </w:numPr>
        <w:spacing w:before="120" w:after="120" w:line="360" w:lineRule="auto"/>
        <w:jc w:val="both"/>
        <w:rPr>
          <w:rFonts w:ascii="Arial" w:hAnsi="Arial" w:cs="Arial"/>
          <w:lang w:val="en-ZA"/>
        </w:rPr>
      </w:pPr>
      <w:r>
        <w:rPr>
          <w:rFonts w:ascii="Arial" w:hAnsi="Arial" w:cs="Arial"/>
        </w:rPr>
        <w:t>To e</w:t>
      </w:r>
      <w:r w:rsidR="00A739E4" w:rsidRPr="00A739E4">
        <w:rPr>
          <w:rFonts w:ascii="Arial" w:hAnsi="Arial" w:cs="Arial"/>
        </w:rPr>
        <w:t>nhance prioritization in the prosecution of sexual offence cases in all divisions</w:t>
      </w:r>
      <w:r>
        <w:rPr>
          <w:rFonts w:ascii="Arial" w:hAnsi="Arial" w:cs="Arial"/>
        </w:rPr>
        <w:t xml:space="preserve">, </w:t>
      </w:r>
      <w:r w:rsidR="00A739E4" w:rsidRPr="00A739E4">
        <w:rPr>
          <w:rFonts w:ascii="Arial" w:hAnsi="Arial" w:cs="Arial"/>
        </w:rPr>
        <w:t>to support the following projects</w:t>
      </w:r>
      <w:r>
        <w:rPr>
          <w:rFonts w:ascii="Arial" w:hAnsi="Arial" w:cs="Arial"/>
        </w:rPr>
        <w:t>, were</w:t>
      </w:r>
      <w:r w:rsidR="00A739E4" w:rsidRPr="00A739E4">
        <w:rPr>
          <w:rFonts w:ascii="Arial" w:hAnsi="Arial" w:cs="Arial"/>
        </w:rPr>
        <w:t xml:space="preserve"> introduced:</w:t>
      </w:r>
    </w:p>
    <w:p w:rsidR="00A739E4" w:rsidRPr="00A739E4" w:rsidRDefault="00A739E4" w:rsidP="00877CD6">
      <w:pPr>
        <w:numPr>
          <w:ilvl w:val="0"/>
          <w:numId w:val="3"/>
        </w:numPr>
        <w:spacing w:line="360" w:lineRule="auto"/>
        <w:jc w:val="both"/>
        <w:rPr>
          <w:rFonts w:ascii="Arial" w:hAnsi="Arial" w:cs="Arial"/>
          <w:lang w:val="en-ZA"/>
        </w:rPr>
      </w:pPr>
      <w:r w:rsidRPr="00A739E4">
        <w:rPr>
          <w:rFonts w:ascii="Arial" w:hAnsi="Arial" w:cs="Arial"/>
          <w:b/>
        </w:rPr>
        <w:t>Sexual offence cases DNA backlog project</w:t>
      </w:r>
      <w:r w:rsidRPr="00A739E4">
        <w:rPr>
          <w:rFonts w:ascii="Arial" w:hAnsi="Arial" w:cs="Arial"/>
          <w:b/>
          <w:bCs/>
        </w:rPr>
        <w:t xml:space="preserve">. </w:t>
      </w:r>
      <w:r w:rsidRPr="00A739E4">
        <w:rPr>
          <w:rFonts w:ascii="Arial" w:hAnsi="Arial" w:cs="Arial"/>
          <w:bCs/>
        </w:rPr>
        <w:t xml:space="preserve">This project is to focus on fast tracking outstanding court cases due to the unavailability of the DNA analysis reports, specifically those cases that involve children. This project is done in conjunction with SAPS FCS and the Forensic Science Laboratory (FSL) and implemented in phases, to ensure that the backlog of these cases is reduced.    </w:t>
      </w:r>
    </w:p>
    <w:p w:rsidR="00A739E4" w:rsidRPr="00A739E4" w:rsidRDefault="00A739E4" w:rsidP="00877CD6">
      <w:pPr>
        <w:numPr>
          <w:ilvl w:val="0"/>
          <w:numId w:val="3"/>
        </w:numPr>
        <w:spacing w:line="360" w:lineRule="auto"/>
        <w:jc w:val="both"/>
        <w:rPr>
          <w:rFonts w:ascii="Arial" w:hAnsi="Arial" w:cs="Arial"/>
          <w:lang w:val="en-ZA"/>
        </w:rPr>
      </w:pPr>
      <w:r w:rsidRPr="00A739E4">
        <w:rPr>
          <w:rFonts w:ascii="Arial" w:hAnsi="Arial" w:cs="Arial"/>
          <w:b/>
        </w:rPr>
        <w:t>Sexual Offence</w:t>
      </w:r>
      <w:r w:rsidR="006D533A">
        <w:rPr>
          <w:rFonts w:ascii="Arial" w:hAnsi="Arial" w:cs="Arial"/>
          <w:b/>
        </w:rPr>
        <w:t>s</w:t>
      </w:r>
      <w:r w:rsidRPr="00A739E4">
        <w:rPr>
          <w:rFonts w:ascii="Arial" w:hAnsi="Arial" w:cs="Arial"/>
          <w:b/>
        </w:rPr>
        <w:t xml:space="preserve"> cold cases project</w:t>
      </w:r>
      <w:r w:rsidRPr="00A739E4">
        <w:rPr>
          <w:rFonts w:ascii="Arial" w:hAnsi="Arial" w:cs="Arial"/>
        </w:rPr>
        <w:t xml:space="preserve">. The national project was initiated to relook </w:t>
      </w:r>
      <w:r w:rsidR="00050FF9" w:rsidRPr="00A739E4">
        <w:rPr>
          <w:rFonts w:ascii="Arial" w:hAnsi="Arial" w:cs="Arial"/>
        </w:rPr>
        <w:t>at sexual</w:t>
      </w:r>
      <w:r w:rsidRPr="00A739E4">
        <w:rPr>
          <w:rFonts w:ascii="Arial" w:hAnsi="Arial" w:cs="Arial"/>
        </w:rPr>
        <w:t xml:space="preserve"> offences “cold cases” that are not on the court rolls. This is to re-evaluate the content, with prosecutor-guided investigations and stakeholder cooperation with SAPS, with a view to placing fully investigated and prosecutable </w:t>
      </w:r>
      <w:r w:rsidR="006D533A">
        <w:rPr>
          <w:rFonts w:ascii="Arial" w:hAnsi="Arial" w:cs="Arial"/>
        </w:rPr>
        <w:t xml:space="preserve">cases </w:t>
      </w:r>
      <w:r w:rsidRPr="00A739E4">
        <w:rPr>
          <w:rFonts w:ascii="Arial" w:hAnsi="Arial" w:cs="Arial"/>
        </w:rPr>
        <w:t xml:space="preserve">back on the court rolls. The project will be implemented in phases.           </w:t>
      </w:r>
    </w:p>
    <w:p w:rsidR="00A739E4" w:rsidRPr="00FA14D9" w:rsidRDefault="00A739E4" w:rsidP="00A739E4">
      <w:pPr>
        <w:spacing w:before="120" w:after="120" w:line="360" w:lineRule="auto"/>
        <w:jc w:val="both"/>
        <w:rPr>
          <w:rFonts w:ascii="Arial" w:hAnsi="Arial" w:cs="Arial"/>
          <w:lang w:val="en-ZA"/>
        </w:rPr>
      </w:pPr>
    </w:p>
    <w:p w:rsidR="00584194" w:rsidRDefault="00584194" w:rsidP="00877CD6">
      <w:pPr>
        <w:numPr>
          <w:ilvl w:val="0"/>
          <w:numId w:val="4"/>
        </w:numPr>
        <w:spacing w:before="120" w:after="120" w:line="360" w:lineRule="auto"/>
        <w:jc w:val="both"/>
        <w:rPr>
          <w:rFonts w:ascii="Arial" w:hAnsi="Arial" w:cs="Arial"/>
          <w:lang w:val="en-ZA"/>
        </w:rPr>
      </w:pPr>
      <w:r>
        <w:rPr>
          <w:rFonts w:ascii="Arial" w:hAnsi="Arial" w:cs="Arial"/>
          <w:lang w:val="en-ZA"/>
        </w:rPr>
        <w:t>(a)</w:t>
      </w:r>
      <w:r>
        <w:rPr>
          <w:rFonts w:ascii="Arial" w:hAnsi="Arial" w:cs="Arial"/>
          <w:lang w:val="en-ZA"/>
        </w:rPr>
        <w:tab/>
        <w:t>In respect of (a) and (b) it is important to note that c</w:t>
      </w:r>
      <w:r w:rsidR="001F3A54">
        <w:rPr>
          <w:rFonts w:ascii="Arial" w:hAnsi="Arial" w:cs="Arial"/>
          <w:lang w:val="en-ZA"/>
        </w:rPr>
        <w:t xml:space="preserve">ourt </w:t>
      </w:r>
      <w:r w:rsidR="00CD0949" w:rsidRPr="00FA14D9">
        <w:rPr>
          <w:rFonts w:ascii="Arial" w:hAnsi="Arial" w:cs="Arial"/>
          <w:lang w:val="en-ZA"/>
        </w:rPr>
        <w:t>officials who fail to inform a complainant of his or her rights</w:t>
      </w:r>
      <w:r w:rsidR="001F3A54">
        <w:rPr>
          <w:rFonts w:ascii="Arial" w:hAnsi="Arial" w:cs="Arial"/>
          <w:lang w:val="en-ZA"/>
        </w:rPr>
        <w:t>, or</w:t>
      </w:r>
      <w:r w:rsidR="00CD0949" w:rsidRPr="00FA14D9">
        <w:rPr>
          <w:rFonts w:ascii="Arial" w:hAnsi="Arial" w:cs="Arial"/>
          <w:lang w:val="en-ZA"/>
        </w:rPr>
        <w:t xml:space="preserve"> consider the complaint as soon as is reasonably possible</w:t>
      </w:r>
      <w:r w:rsidR="006D533A">
        <w:rPr>
          <w:rFonts w:ascii="Arial" w:hAnsi="Arial" w:cs="Arial"/>
          <w:lang w:val="en-ZA"/>
        </w:rPr>
        <w:t>,</w:t>
      </w:r>
      <w:r w:rsidR="00CD0949" w:rsidRPr="00FA14D9">
        <w:rPr>
          <w:rFonts w:ascii="Arial" w:hAnsi="Arial" w:cs="Arial"/>
          <w:lang w:val="en-ZA"/>
        </w:rPr>
        <w:t xml:space="preserve"> </w:t>
      </w:r>
      <w:r w:rsidR="001F3A54">
        <w:rPr>
          <w:rFonts w:ascii="Arial" w:hAnsi="Arial" w:cs="Arial"/>
          <w:lang w:val="en-ZA"/>
        </w:rPr>
        <w:t xml:space="preserve">are dealt with in terms of the existing performance management system which provides for disciplinary </w:t>
      </w:r>
      <w:r w:rsidR="006D533A">
        <w:rPr>
          <w:rFonts w:ascii="Arial" w:hAnsi="Arial" w:cs="Arial"/>
          <w:lang w:val="en-ZA"/>
        </w:rPr>
        <w:t xml:space="preserve">actions </w:t>
      </w:r>
      <w:r w:rsidR="001F3A54">
        <w:rPr>
          <w:rFonts w:ascii="Arial" w:hAnsi="Arial" w:cs="Arial"/>
          <w:lang w:val="en-ZA"/>
        </w:rPr>
        <w:t>against an</w:t>
      </w:r>
      <w:r w:rsidR="006D533A">
        <w:rPr>
          <w:rFonts w:ascii="Arial" w:hAnsi="Arial" w:cs="Arial"/>
          <w:lang w:val="en-ZA"/>
        </w:rPr>
        <w:t>y</w:t>
      </w:r>
      <w:r w:rsidR="001F3A54">
        <w:rPr>
          <w:rFonts w:ascii="Arial" w:hAnsi="Arial" w:cs="Arial"/>
          <w:lang w:val="en-ZA"/>
        </w:rPr>
        <w:t xml:space="preserve"> official who </w:t>
      </w:r>
      <w:r>
        <w:rPr>
          <w:rFonts w:ascii="Arial" w:hAnsi="Arial" w:cs="Arial"/>
          <w:lang w:val="en-ZA"/>
        </w:rPr>
        <w:t xml:space="preserve">is found guilty of dereliction of duty. </w:t>
      </w:r>
    </w:p>
    <w:p w:rsidR="00CF35A0" w:rsidRDefault="00CF35A0" w:rsidP="00CF35A0">
      <w:pPr>
        <w:spacing w:before="120" w:after="120" w:line="360" w:lineRule="auto"/>
        <w:jc w:val="both"/>
        <w:rPr>
          <w:rFonts w:ascii="Arial" w:hAnsi="Arial" w:cs="Arial"/>
          <w:lang w:val="en-ZA"/>
        </w:rPr>
      </w:pPr>
    </w:p>
    <w:p w:rsidR="00584194" w:rsidRDefault="00584194" w:rsidP="00877CD6">
      <w:pPr>
        <w:numPr>
          <w:ilvl w:val="0"/>
          <w:numId w:val="9"/>
        </w:numPr>
        <w:spacing w:before="120" w:after="120" w:line="360" w:lineRule="auto"/>
        <w:jc w:val="both"/>
        <w:rPr>
          <w:rFonts w:ascii="Arial" w:hAnsi="Arial" w:cs="Arial"/>
          <w:lang w:val="en-ZA"/>
        </w:rPr>
      </w:pPr>
      <w:r>
        <w:rPr>
          <w:rFonts w:ascii="Arial" w:hAnsi="Arial" w:cs="Arial"/>
          <w:lang w:val="en-ZA"/>
        </w:rPr>
        <w:lastRenderedPageBreak/>
        <w:t>I</w:t>
      </w:r>
      <w:r w:rsidR="00CD0949" w:rsidRPr="00FA14D9">
        <w:rPr>
          <w:rFonts w:ascii="Arial" w:hAnsi="Arial" w:cs="Arial"/>
          <w:lang w:val="en-ZA"/>
        </w:rPr>
        <w:t>nterim protection order</w:t>
      </w:r>
      <w:r>
        <w:rPr>
          <w:rFonts w:ascii="Arial" w:hAnsi="Arial" w:cs="Arial"/>
          <w:lang w:val="en-ZA"/>
        </w:rPr>
        <w:t>s</w:t>
      </w:r>
      <w:r w:rsidR="00CD0949" w:rsidRPr="00FA14D9">
        <w:rPr>
          <w:rFonts w:ascii="Arial" w:hAnsi="Arial" w:cs="Arial"/>
          <w:lang w:val="en-ZA"/>
        </w:rPr>
        <w:t xml:space="preserve"> and the original warrant of arrest</w:t>
      </w:r>
      <w:r>
        <w:rPr>
          <w:rFonts w:ascii="Arial" w:hAnsi="Arial" w:cs="Arial"/>
          <w:lang w:val="en-ZA"/>
        </w:rPr>
        <w:t xml:space="preserve"> relating thereto are served by police officers and there are regular structured meetings between the Department and SAPS management to address any glitches experienced in this regard. </w:t>
      </w:r>
    </w:p>
    <w:p w:rsidR="009569FA" w:rsidRPr="00FA14D9" w:rsidRDefault="009569FA" w:rsidP="009569FA">
      <w:pPr>
        <w:spacing w:line="360" w:lineRule="auto"/>
        <w:jc w:val="both"/>
        <w:rPr>
          <w:rFonts w:ascii="Arial" w:hAnsi="Arial" w:cs="Arial"/>
          <w:b/>
        </w:rPr>
      </w:pPr>
    </w:p>
    <w:sectPr w:rsidR="009569FA" w:rsidRPr="00FA14D9"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AD" w:rsidRDefault="00466CAD" w:rsidP="00913892">
      <w:r>
        <w:separator/>
      </w:r>
    </w:p>
  </w:endnote>
  <w:endnote w:type="continuationSeparator" w:id="0">
    <w:p w:rsidR="00466CAD" w:rsidRDefault="00466CAD"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E14AF8" w:rsidRPr="00E14AF8">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AD" w:rsidRDefault="00466CAD" w:rsidP="00913892">
      <w:r>
        <w:separator/>
      </w:r>
    </w:p>
  </w:footnote>
  <w:footnote w:type="continuationSeparator" w:id="0">
    <w:p w:rsidR="00466CAD" w:rsidRDefault="00466CAD"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762A"/>
    <w:multiLevelType w:val="hybridMultilevel"/>
    <w:tmpl w:val="41F823D2"/>
    <w:lvl w:ilvl="0" w:tplc="85FA6BE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4B0D6F4B"/>
    <w:multiLevelType w:val="hybridMultilevel"/>
    <w:tmpl w:val="EE2819F8"/>
    <w:lvl w:ilvl="0" w:tplc="BC3271F4">
      <w:start w:val="1"/>
      <w:numFmt w:val="lowerLetter"/>
      <w:lvlText w:val="(%1)"/>
      <w:lvlJc w:val="left"/>
      <w:pPr>
        <w:tabs>
          <w:tab w:val="num" w:pos="1440"/>
        </w:tabs>
        <w:ind w:left="1440" w:hanging="360"/>
      </w:pPr>
      <w:rPr>
        <w:rFonts w:ascii="Arial" w:eastAsia="Times New Roman" w:hAnsi="Arial" w:cs="Arial"/>
      </w:rPr>
    </w:lvl>
    <w:lvl w:ilvl="1" w:tplc="8D2A1CA6">
      <w:start w:val="1"/>
      <w:numFmt w:val="lowerRoman"/>
      <w:lvlText w:val="(%2)"/>
      <w:lvlJc w:val="left"/>
      <w:pPr>
        <w:tabs>
          <w:tab w:val="num" w:pos="2160"/>
        </w:tabs>
        <w:ind w:left="2160" w:hanging="360"/>
      </w:pPr>
      <w:rPr>
        <w:rFonts w:ascii="Arial" w:eastAsia="Times New Roman" w:hAnsi="Arial" w:cs="Arial"/>
      </w:rPr>
    </w:lvl>
    <w:lvl w:ilvl="2" w:tplc="E3B42374" w:tentative="1">
      <w:start w:val="1"/>
      <w:numFmt w:val="bullet"/>
      <w:lvlText w:val="•"/>
      <w:lvlJc w:val="left"/>
      <w:pPr>
        <w:tabs>
          <w:tab w:val="num" w:pos="2880"/>
        </w:tabs>
        <w:ind w:left="2880" w:hanging="360"/>
      </w:pPr>
      <w:rPr>
        <w:rFonts w:ascii="Arial" w:hAnsi="Arial" w:hint="default"/>
      </w:rPr>
    </w:lvl>
    <w:lvl w:ilvl="3" w:tplc="84A4002E" w:tentative="1">
      <w:start w:val="1"/>
      <w:numFmt w:val="bullet"/>
      <w:lvlText w:val="•"/>
      <w:lvlJc w:val="left"/>
      <w:pPr>
        <w:tabs>
          <w:tab w:val="num" w:pos="3600"/>
        </w:tabs>
        <w:ind w:left="3600" w:hanging="360"/>
      </w:pPr>
      <w:rPr>
        <w:rFonts w:ascii="Arial" w:hAnsi="Arial" w:hint="default"/>
      </w:rPr>
    </w:lvl>
    <w:lvl w:ilvl="4" w:tplc="294EF100" w:tentative="1">
      <w:start w:val="1"/>
      <w:numFmt w:val="bullet"/>
      <w:lvlText w:val="•"/>
      <w:lvlJc w:val="left"/>
      <w:pPr>
        <w:tabs>
          <w:tab w:val="num" w:pos="4320"/>
        </w:tabs>
        <w:ind w:left="4320" w:hanging="360"/>
      </w:pPr>
      <w:rPr>
        <w:rFonts w:ascii="Arial" w:hAnsi="Arial" w:hint="default"/>
      </w:rPr>
    </w:lvl>
    <w:lvl w:ilvl="5" w:tplc="136211BA" w:tentative="1">
      <w:start w:val="1"/>
      <w:numFmt w:val="bullet"/>
      <w:lvlText w:val="•"/>
      <w:lvlJc w:val="left"/>
      <w:pPr>
        <w:tabs>
          <w:tab w:val="num" w:pos="5040"/>
        </w:tabs>
        <w:ind w:left="5040" w:hanging="360"/>
      </w:pPr>
      <w:rPr>
        <w:rFonts w:ascii="Arial" w:hAnsi="Arial" w:hint="default"/>
      </w:rPr>
    </w:lvl>
    <w:lvl w:ilvl="6" w:tplc="654EF0D0" w:tentative="1">
      <w:start w:val="1"/>
      <w:numFmt w:val="bullet"/>
      <w:lvlText w:val="•"/>
      <w:lvlJc w:val="left"/>
      <w:pPr>
        <w:tabs>
          <w:tab w:val="num" w:pos="5760"/>
        </w:tabs>
        <w:ind w:left="5760" w:hanging="360"/>
      </w:pPr>
      <w:rPr>
        <w:rFonts w:ascii="Arial" w:hAnsi="Arial" w:hint="default"/>
      </w:rPr>
    </w:lvl>
    <w:lvl w:ilvl="7" w:tplc="FC4C7862" w:tentative="1">
      <w:start w:val="1"/>
      <w:numFmt w:val="bullet"/>
      <w:lvlText w:val="•"/>
      <w:lvlJc w:val="left"/>
      <w:pPr>
        <w:tabs>
          <w:tab w:val="num" w:pos="6480"/>
        </w:tabs>
        <w:ind w:left="6480" w:hanging="360"/>
      </w:pPr>
      <w:rPr>
        <w:rFonts w:ascii="Arial" w:hAnsi="Arial" w:hint="default"/>
      </w:rPr>
    </w:lvl>
    <w:lvl w:ilvl="8" w:tplc="A5704EA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4D061916"/>
    <w:multiLevelType w:val="hybridMultilevel"/>
    <w:tmpl w:val="C51E9FCA"/>
    <w:lvl w:ilvl="0" w:tplc="6A42C2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21F5"/>
    <w:multiLevelType w:val="hybridMultilevel"/>
    <w:tmpl w:val="41F823D2"/>
    <w:lvl w:ilvl="0" w:tplc="85FA6BE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B034C"/>
    <w:multiLevelType w:val="hybridMultilevel"/>
    <w:tmpl w:val="27960ABE"/>
    <w:lvl w:ilvl="0" w:tplc="62C48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4C4295"/>
    <w:multiLevelType w:val="hybridMultilevel"/>
    <w:tmpl w:val="41F823D2"/>
    <w:lvl w:ilvl="0" w:tplc="85FA6BE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02D"/>
    <w:rsid w:val="00001C4E"/>
    <w:rsid w:val="00015FFB"/>
    <w:rsid w:val="00026EC0"/>
    <w:rsid w:val="00030927"/>
    <w:rsid w:val="0004105D"/>
    <w:rsid w:val="0004190C"/>
    <w:rsid w:val="00044514"/>
    <w:rsid w:val="00046588"/>
    <w:rsid w:val="00050FF9"/>
    <w:rsid w:val="00052CE2"/>
    <w:rsid w:val="0007015D"/>
    <w:rsid w:val="00070401"/>
    <w:rsid w:val="0007147A"/>
    <w:rsid w:val="00072E1B"/>
    <w:rsid w:val="0007655F"/>
    <w:rsid w:val="00076A3F"/>
    <w:rsid w:val="00076C46"/>
    <w:rsid w:val="00080B73"/>
    <w:rsid w:val="00091E7A"/>
    <w:rsid w:val="000937DA"/>
    <w:rsid w:val="00095B8E"/>
    <w:rsid w:val="000A3DA5"/>
    <w:rsid w:val="000B5E45"/>
    <w:rsid w:val="000C01D4"/>
    <w:rsid w:val="000C7195"/>
    <w:rsid w:val="000D2772"/>
    <w:rsid w:val="000D3B70"/>
    <w:rsid w:val="000D48A4"/>
    <w:rsid w:val="000D4F57"/>
    <w:rsid w:val="000E2337"/>
    <w:rsid w:val="000E6772"/>
    <w:rsid w:val="000E7085"/>
    <w:rsid w:val="000E76BA"/>
    <w:rsid w:val="000F1B58"/>
    <w:rsid w:val="000F24EB"/>
    <w:rsid w:val="001023BA"/>
    <w:rsid w:val="00105174"/>
    <w:rsid w:val="001100CC"/>
    <w:rsid w:val="00110B8F"/>
    <w:rsid w:val="00120775"/>
    <w:rsid w:val="00130BDB"/>
    <w:rsid w:val="001314B9"/>
    <w:rsid w:val="00134C16"/>
    <w:rsid w:val="001354F5"/>
    <w:rsid w:val="00144111"/>
    <w:rsid w:val="001552BB"/>
    <w:rsid w:val="00156483"/>
    <w:rsid w:val="001702F2"/>
    <w:rsid w:val="00173403"/>
    <w:rsid w:val="001774BC"/>
    <w:rsid w:val="001848C4"/>
    <w:rsid w:val="00192D26"/>
    <w:rsid w:val="00194B05"/>
    <w:rsid w:val="001A6D2A"/>
    <w:rsid w:val="001B00F0"/>
    <w:rsid w:val="001C18E9"/>
    <w:rsid w:val="001D2E53"/>
    <w:rsid w:val="001D4F07"/>
    <w:rsid w:val="001E1BE7"/>
    <w:rsid w:val="001F3A54"/>
    <w:rsid w:val="001F41F3"/>
    <w:rsid w:val="001F445E"/>
    <w:rsid w:val="00200B7C"/>
    <w:rsid w:val="00203F6A"/>
    <w:rsid w:val="002068CB"/>
    <w:rsid w:val="00213182"/>
    <w:rsid w:val="0021549B"/>
    <w:rsid w:val="0021634F"/>
    <w:rsid w:val="002269FD"/>
    <w:rsid w:val="00262ACE"/>
    <w:rsid w:val="0027220F"/>
    <w:rsid w:val="0028143C"/>
    <w:rsid w:val="00281574"/>
    <w:rsid w:val="002857B6"/>
    <w:rsid w:val="00286311"/>
    <w:rsid w:val="00291065"/>
    <w:rsid w:val="0029609C"/>
    <w:rsid w:val="002A0DB1"/>
    <w:rsid w:val="002A1C63"/>
    <w:rsid w:val="002A5851"/>
    <w:rsid w:val="002B2B31"/>
    <w:rsid w:val="002B6D18"/>
    <w:rsid w:val="002C719B"/>
    <w:rsid w:val="002D5BF7"/>
    <w:rsid w:val="002D7BBD"/>
    <w:rsid w:val="002E528E"/>
    <w:rsid w:val="002E7253"/>
    <w:rsid w:val="002F22DD"/>
    <w:rsid w:val="0031652F"/>
    <w:rsid w:val="00322249"/>
    <w:rsid w:val="00322BA4"/>
    <w:rsid w:val="00332900"/>
    <w:rsid w:val="00333D5E"/>
    <w:rsid w:val="00334184"/>
    <w:rsid w:val="00334CA0"/>
    <w:rsid w:val="003401CA"/>
    <w:rsid w:val="00341E51"/>
    <w:rsid w:val="00345318"/>
    <w:rsid w:val="00345819"/>
    <w:rsid w:val="00346942"/>
    <w:rsid w:val="0037187E"/>
    <w:rsid w:val="00376446"/>
    <w:rsid w:val="003767D7"/>
    <w:rsid w:val="003771A4"/>
    <w:rsid w:val="00381998"/>
    <w:rsid w:val="00381B64"/>
    <w:rsid w:val="00383858"/>
    <w:rsid w:val="00386CA6"/>
    <w:rsid w:val="003A0400"/>
    <w:rsid w:val="003A0A38"/>
    <w:rsid w:val="003A64C5"/>
    <w:rsid w:val="003A6AD0"/>
    <w:rsid w:val="003B0260"/>
    <w:rsid w:val="003C17AF"/>
    <w:rsid w:val="003C43F4"/>
    <w:rsid w:val="003C4D22"/>
    <w:rsid w:val="003C5B62"/>
    <w:rsid w:val="003D526D"/>
    <w:rsid w:val="003D5650"/>
    <w:rsid w:val="003D780B"/>
    <w:rsid w:val="003E0CEE"/>
    <w:rsid w:val="003F2E8D"/>
    <w:rsid w:val="003F5064"/>
    <w:rsid w:val="003F6245"/>
    <w:rsid w:val="004031F8"/>
    <w:rsid w:val="00417DB4"/>
    <w:rsid w:val="00422DF6"/>
    <w:rsid w:val="00427423"/>
    <w:rsid w:val="00431C9F"/>
    <w:rsid w:val="00432406"/>
    <w:rsid w:val="00433C19"/>
    <w:rsid w:val="00436057"/>
    <w:rsid w:val="00436842"/>
    <w:rsid w:val="00440FFF"/>
    <w:rsid w:val="00441BD5"/>
    <w:rsid w:val="004443E6"/>
    <w:rsid w:val="00447BA5"/>
    <w:rsid w:val="0045551C"/>
    <w:rsid w:val="00456184"/>
    <w:rsid w:val="004572CE"/>
    <w:rsid w:val="00465448"/>
    <w:rsid w:val="00465A51"/>
    <w:rsid w:val="00466CAD"/>
    <w:rsid w:val="004672BD"/>
    <w:rsid w:val="004926BD"/>
    <w:rsid w:val="00492EF7"/>
    <w:rsid w:val="004B07AA"/>
    <w:rsid w:val="004B6B6B"/>
    <w:rsid w:val="004D114B"/>
    <w:rsid w:val="004D2EC7"/>
    <w:rsid w:val="004D7C63"/>
    <w:rsid w:val="004E7CD4"/>
    <w:rsid w:val="004F4B6D"/>
    <w:rsid w:val="004F6FEC"/>
    <w:rsid w:val="00502868"/>
    <w:rsid w:val="00515B6A"/>
    <w:rsid w:val="005160F8"/>
    <w:rsid w:val="00532994"/>
    <w:rsid w:val="00533C5D"/>
    <w:rsid w:val="0054211D"/>
    <w:rsid w:val="005454FB"/>
    <w:rsid w:val="00551158"/>
    <w:rsid w:val="00553B28"/>
    <w:rsid w:val="00554403"/>
    <w:rsid w:val="005601A1"/>
    <w:rsid w:val="00572F09"/>
    <w:rsid w:val="005772C1"/>
    <w:rsid w:val="005835BC"/>
    <w:rsid w:val="00584194"/>
    <w:rsid w:val="005856A7"/>
    <w:rsid w:val="00585897"/>
    <w:rsid w:val="00596B3D"/>
    <w:rsid w:val="005A42CF"/>
    <w:rsid w:val="005B3A5E"/>
    <w:rsid w:val="005B6209"/>
    <w:rsid w:val="005B766A"/>
    <w:rsid w:val="005D1EEF"/>
    <w:rsid w:val="005D6FCB"/>
    <w:rsid w:val="005E365A"/>
    <w:rsid w:val="005E55C6"/>
    <w:rsid w:val="005E612A"/>
    <w:rsid w:val="005E6608"/>
    <w:rsid w:val="00611B38"/>
    <w:rsid w:val="00612214"/>
    <w:rsid w:val="00623639"/>
    <w:rsid w:val="00625CD7"/>
    <w:rsid w:val="00630345"/>
    <w:rsid w:val="00630713"/>
    <w:rsid w:val="00630932"/>
    <w:rsid w:val="00653FE5"/>
    <w:rsid w:val="00655217"/>
    <w:rsid w:val="00661BE2"/>
    <w:rsid w:val="00670788"/>
    <w:rsid w:val="0067545A"/>
    <w:rsid w:val="006959E4"/>
    <w:rsid w:val="00697C83"/>
    <w:rsid w:val="006A2B11"/>
    <w:rsid w:val="006B0F80"/>
    <w:rsid w:val="006B4767"/>
    <w:rsid w:val="006C0567"/>
    <w:rsid w:val="006D21F9"/>
    <w:rsid w:val="006D533A"/>
    <w:rsid w:val="006D7E71"/>
    <w:rsid w:val="006D7E86"/>
    <w:rsid w:val="006E138A"/>
    <w:rsid w:val="006F1417"/>
    <w:rsid w:val="006F2454"/>
    <w:rsid w:val="006F63D7"/>
    <w:rsid w:val="00720D4C"/>
    <w:rsid w:val="00724689"/>
    <w:rsid w:val="007261FA"/>
    <w:rsid w:val="00740A5A"/>
    <w:rsid w:val="00745638"/>
    <w:rsid w:val="007540CF"/>
    <w:rsid w:val="00755C22"/>
    <w:rsid w:val="00757E02"/>
    <w:rsid w:val="00760BFE"/>
    <w:rsid w:val="007620A6"/>
    <w:rsid w:val="00765301"/>
    <w:rsid w:val="00774F8F"/>
    <w:rsid w:val="00777A77"/>
    <w:rsid w:val="0078425B"/>
    <w:rsid w:val="00791471"/>
    <w:rsid w:val="007927EB"/>
    <w:rsid w:val="007961D4"/>
    <w:rsid w:val="007B7829"/>
    <w:rsid w:val="007C0AC3"/>
    <w:rsid w:val="007C1863"/>
    <w:rsid w:val="007C4802"/>
    <w:rsid w:val="007E05BF"/>
    <w:rsid w:val="007E6925"/>
    <w:rsid w:val="007E7201"/>
    <w:rsid w:val="007F2B0B"/>
    <w:rsid w:val="007F3217"/>
    <w:rsid w:val="00805ABF"/>
    <w:rsid w:val="008169B8"/>
    <w:rsid w:val="00842891"/>
    <w:rsid w:val="00846897"/>
    <w:rsid w:val="00847088"/>
    <w:rsid w:val="00865132"/>
    <w:rsid w:val="008769EF"/>
    <w:rsid w:val="00877CD6"/>
    <w:rsid w:val="00881381"/>
    <w:rsid w:val="008814D5"/>
    <w:rsid w:val="0088378D"/>
    <w:rsid w:val="00885BB0"/>
    <w:rsid w:val="00892846"/>
    <w:rsid w:val="008A1398"/>
    <w:rsid w:val="008A1837"/>
    <w:rsid w:val="008B1BCF"/>
    <w:rsid w:val="008C1A56"/>
    <w:rsid w:val="008C3ADD"/>
    <w:rsid w:val="008D4373"/>
    <w:rsid w:val="008E2FD6"/>
    <w:rsid w:val="008E312C"/>
    <w:rsid w:val="008E505E"/>
    <w:rsid w:val="008E78E6"/>
    <w:rsid w:val="008F366F"/>
    <w:rsid w:val="008F6A5A"/>
    <w:rsid w:val="009025C1"/>
    <w:rsid w:val="00905C38"/>
    <w:rsid w:val="00911E50"/>
    <w:rsid w:val="00913892"/>
    <w:rsid w:val="0092193B"/>
    <w:rsid w:val="009229AD"/>
    <w:rsid w:val="0094372F"/>
    <w:rsid w:val="009541F2"/>
    <w:rsid w:val="009551F2"/>
    <w:rsid w:val="009569FA"/>
    <w:rsid w:val="00957BE2"/>
    <w:rsid w:val="009643F9"/>
    <w:rsid w:val="00973033"/>
    <w:rsid w:val="009761A7"/>
    <w:rsid w:val="00983C6B"/>
    <w:rsid w:val="009868D6"/>
    <w:rsid w:val="0098762D"/>
    <w:rsid w:val="009946F5"/>
    <w:rsid w:val="009A755B"/>
    <w:rsid w:val="009B0CAB"/>
    <w:rsid w:val="009C0118"/>
    <w:rsid w:val="009C3CCD"/>
    <w:rsid w:val="009D4F78"/>
    <w:rsid w:val="009D6016"/>
    <w:rsid w:val="009E0268"/>
    <w:rsid w:val="009E1C96"/>
    <w:rsid w:val="009F17AE"/>
    <w:rsid w:val="009F1B70"/>
    <w:rsid w:val="009F2D5C"/>
    <w:rsid w:val="00A13BBD"/>
    <w:rsid w:val="00A17877"/>
    <w:rsid w:val="00A42301"/>
    <w:rsid w:val="00A4317E"/>
    <w:rsid w:val="00A4711C"/>
    <w:rsid w:val="00A5290F"/>
    <w:rsid w:val="00A5364A"/>
    <w:rsid w:val="00A623F2"/>
    <w:rsid w:val="00A64328"/>
    <w:rsid w:val="00A6432A"/>
    <w:rsid w:val="00A66729"/>
    <w:rsid w:val="00A705C0"/>
    <w:rsid w:val="00A70AFC"/>
    <w:rsid w:val="00A7136B"/>
    <w:rsid w:val="00A739E4"/>
    <w:rsid w:val="00A7557F"/>
    <w:rsid w:val="00A80164"/>
    <w:rsid w:val="00A9245A"/>
    <w:rsid w:val="00A95202"/>
    <w:rsid w:val="00AA2AB0"/>
    <w:rsid w:val="00AA39AC"/>
    <w:rsid w:val="00AB49FB"/>
    <w:rsid w:val="00AB51F7"/>
    <w:rsid w:val="00AC5476"/>
    <w:rsid w:val="00AD6BC4"/>
    <w:rsid w:val="00AD7B7A"/>
    <w:rsid w:val="00AF0F1A"/>
    <w:rsid w:val="00AF5D91"/>
    <w:rsid w:val="00B021CE"/>
    <w:rsid w:val="00B13369"/>
    <w:rsid w:val="00B170EA"/>
    <w:rsid w:val="00B17287"/>
    <w:rsid w:val="00B26AB3"/>
    <w:rsid w:val="00B3594E"/>
    <w:rsid w:val="00B40A2F"/>
    <w:rsid w:val="00B42D65"/>
    <w:rsid w:val="00B46E62"/>
    <w:rsid w:val="00B47264"/>
    <w:rsid w:val="00B553A6"/>
    <w:rsid w:val="00B60FE4"/>
    <w:rsid w:val="00B6392C"/>
    <w:rsid w:val="00B8345D"/>
    <w:rsid w:val="00B958BA"/>
    <w:rsid w:val="00BA2B27"/>
    <w:rsid w:val="00BA3361"/>
    <w:rsid w:val="00BA3A67"/>
    <w:rsid w:val="00BA61AF"/>
    <w:rsid w:val="00BB53A8"/>
    <w:rsid w:val="00BB7991"/>
    <w:rsid w:val="00BC1021"/>
    <w:rsid w:val="00BC7AFB"/>
    <w:rsid w:val="00BD597B"/>
    <w:rsid w:val="00BD6D36"/>
    <w:rsid w:val="00BF0672"/>
    <w:rsid w:val="00BF0809"/>
    <w:rsid w:val="00BF4DFD"/>
    <w:rsid w:val="00BF738D"/>
    <w:rsid w:val="00C15423"/>
    <w:rsid w:val="00C176E5"/>
    <w:rsid w:val="00C31057"/>
    <w:rsid w:val="00C331B7"/>
    <w:rsid w:val="00C360AA"/>
    <w:rsid w:val="00C3772F"/>
    <w:rsid w:val="00C41A50"/>
    <w:rsid w:val="00C56A8B"/>
    <w:rsid w:val="00C70B20"/>
    <w:rsid w:val="00C75ACC"/>
    <w:rsid w:val="00C770B6"/>
    <w:rsid w:val="00C81ABF"/>
    <w:rsid w:val="00C84899"/>
    <w:rsid w:val="00C8589D"/>
    <w:rsid w:val="00C85C14"/>
    <w:rsid w:val="00C877EE"/>
    <w:rsid w:val="00C904B6"/>
    <w:rsid w:val="00C90886"/>
    <w:rsid w:val="00C95F59"/>
    <w:rsid w:val="00CB2778"/>
    <w:rsid w:val="00CB698D"/>
    <w:rsid w:val="00CC239F"/>
    <w:rsid w:val="00CC576B"/>
    <w:rsid w:val="00CD042D"/>
    <w:rsid w:val="00CD0949"/>
    <w:rsid w:val="00CD3DB4"/>
    <w:rsid w:val="00CD4D18"/>
    <w:rsid w:val="00CE0598"/>
    <w:rsid w:val="00CF1B81"/>
    <w:rsid w:val="00CF35A0"/>
    <w:rsid w:val="00D209A0"/>
    <w:rsid w:val="00D2141C"/>
    <w:rsid w:val="00D21B79"/>
    <w:rsid w:val="00D222F0"/>
    <w:rsid w:val="00D2429B"/>
    <w:rsid w:val="00D24750"/>
    <w:rsid w:val="00D3067D"/>
    <w:rsid w:val="00D35B6F"/>
    <w:rsid w:val="00D35BA9"/>
    <w:rsid w:val="00D41538"/>
    <w:rsid w:val="00D463C8"/>
    <w:rsid w:val="00D50C5D"/>
    <w:rsid w:val="00D54B71"/>
    <w:rsid w:val="00D56B43"/>
    <w:rsid w:val="00D6158A"/>
    <w:rsid w:val="00D746E1"/>
    <w:rsid w:val="00D74CDB"/>
    <w:rsid w:val="00D764A0"/>
    <w:rsid w:val="00D76DA7"/>
    <w:rsid w:val="00D80139"/>
    <w:rsid w:val="00D86E52"/>
    <w:rsid w:val="00D93903"/>
    <w:rsid w:val="00DA495F"/>
    <w:rsid w:val="00DA55D5"/>
    <w:rsid w:val="00DB0B3D"/>
    <w:rsid w:val="00DB11B2"/>
    <w:rsid w:val="00DB1385"/>
    <w:rsid w:val="00DC255C"/>
    <w:rsid w:val="00DC592F"/>
    <w:rsid w:val="00DC7CDA"/>
    <w:rsid w:val="00DD79AA"/>
    <w:rsid w:val="00DE1284"/>
    <w:rsid w:val="00DF192E"/>
    <w:rsid w:val="00DF2638"/>
    <w:rsid w:val="00E0262B"/>
    <w:rsid w:val="00E10799"/>
    <w:rsid w:val="00E1080E"/>
    <w:rsid w:val="00E14AF8"/>
    <w:rsid w:val="00E17F42"/>
    <w:rsid w:val="00E21A66"/>
    <w:rsid w:val="00E30F9B"/>
    <w:rsid w:val="00E361D7"/>
    <w:rsid w:val="00E3724B"/>
    <w:rsid w:val="00E44AFC"/>
    <w:rsid w:val="00E555C4"/>
    <w:rsid w:val="00E55AFD"/>
    <w:rsid w:val="00E76F65"/>
    <w:rsid w:val="00E9714E"/>
    <w:rsid w:val="00EA22DB"/>
    <w:rsid w:val="00EA4D5C"/>
    <w:rsid w:val="00EA53D2"/>
    <w:rsid w:val="00EA7A64"/>
    <w:rsid w:val="00EB54FA"/>
    <w:rsid w:val="00EB5C9A"/>
    <w:rsid w:val="00EC5379"/>
    <w:rsid w:val="00EC6D4E"/>
    <w:rsid w:val="00ED072E"/>
    <w:rsid w:val="00ED44D7"/>
    <w:rsid w:val="00ED5CF6"/>
    <w:rsid w:val="00ED6A75"/>
    <w:rsid w:val="00EE1177"/>
    <w:rsid w:val="00EE6AD6"/>
    <w:rsid w:val="00EF081C"/>
    <w:rsid w:val="00EF17CC"/>
    <w:rsid w:val="00EF2E4B"/>
    <w:rsid w:val="00EF32C9"/>
    <w:rsid w:val="00F06B7C"/>
    <w:rsid w:val="00F20EAD"/>
    <w:rsid w:val="00F213E8"/>
    <w:rsid w:val="00F220CD"/>
    <w:rsid w:val="00F26B86"/>
    <w:rsid w:val="00F31805"/>
    <w:rsid w:val="00F338A4"/>
    <w:rsid w:val="00F3487E"/>
    <w:rsid w:val="00F36003"/>
    <w:rsid w:val="00F400F2"/>
    <w:rsid w:val="00F475A6"/>
    <w:rsid w:val="00F5419D"/>
    <w:rsid w:val="00F55893"/>
    <w:rsid w:val="00F63F57"/>
    <w:rsid w:val="00F646C9"/>
    <w:rsid w:val="00F6667C"/>
    <w:rsid w:val="00F739F4"/>
    <w:rsid w:val="00F80210"/>
    <w:rsid w:val="00F845F2"/>
    <w:rsid w:val="00F86709"/>
    <w:rsid w:val="00F900B8"/>
    <w:rsid w:val="00F91926"/>
    <w:rsid w:val="00F95D9E"/>
    <w:rsid w:val="00FA14D9"/>
    <w:rsid w:val="00FA2136"/>
    <w:rsid w:val="00FA26A6"/>
    <w:rsid w:val="00FA4D8E"/>
    <w:rsid w:val="00FB1AFE"/>
    <w:rsid w:val="00FD32ED"/>
    <w:rsid w:val="00FE25AE"/>
    <w:rsid w:val="00FE5939"/>
    <w:rsid w:val="00FE5DBA"/>
    <w:rsid w:val="00FE64CB"/>
    <w:rsid w:val="00FF0C8B"/>
    <w:rsid w:val="00FF252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2911E62-EC33-43BE-8895-600A264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1"/>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CommentReference">
    <w:name w:val="annotation reference"/>
    <w:uiPriority w:val="99"/>
    <w:semiHidden/>
    <w:unhideWhenUsed/>
    <w:rsid w:val="00334184"/>
    <w:rPr>
      <w:sz w:val="16"/>
      <w:szCs w:val="16"/>
    </w:rPr>
  </w:style>
  <w:style w:type="paragraph" w:styleId="CommentText">
    <w:name w:val="annotation text"/>
    <w:basedOn w:val="Normal"/>
    <w:link w:val="CommentTextChar"/>
    <w:uiPriority w:val="99"/>
    <w:semiHidden/>
    <w:unhideWhenUsed/>
    <w:rsid w:val="00334184"/>
    <w:rPr>
      <w:sz w:val="20"/>
      <w:szCs w:val="20"/>
    </w:rPr>
  </w:style>
  <w:style w:type="character" w:customStyle="1" w:styleId="CommentTextChar">
    <w:name w:val="Comment Text Char"/>
    <w:link w:val="CommentText"/>
    <w:uiPriority w:val="99"/>
    <w:semiHidden/>
    <w:rsid w:val="0033418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34184"/>
    <w:rPr>
      <w:b/>
      <w:bCs/>
    </w:rPr>
  </w:style>
  <w:style w:type="character" w:customStyle="1" w:styleId="CommentSubjectChar">
    <w:name w:val="Comment Subject Char"/>
    <w:link w:val="CommentSubject"/>
    <w:uiPriority w:val="99"/>
    <w:semiHidden/>
    <w:rsid w:val="00334184"/>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062">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057975488">
      <w:bodyDiv w:val="1"/>
      <w:marLeft w:val="0"/>
      <w:marRight w:val="0"/>
      <w:marTop w:val="0"/>
      <w:marBottom w:val="0"/>
      <w:divBdr>
        <w:top w:val="none" w:sz="0" w:space="0" w:color="auto"/>
        <w:left w:val="none" w:sz="0" w:space="0" w:color="auto"/>
        <w:bottom w:val="none" w:sz="0" w:space="0" w:color="auto"/>
        <w:right w:val="none" w:sz="0" w:space="0" w:color="auto"/>
      </w:divBdr>
      <w:divsChild>
        <w:div w:id="105586982">
          <w:marLeft w:val="274"/>
          <w:marRight w:val="0"/>
          <w:marTop w:val="150"/>
          <w:marBottom w:val="0"/>
          <w:divBdr>
            <w:top w:val="none" w:sz="0" w:space="0" w:color="auto"/>
            <w:left w:val="none" w:sz="0" w:space="0" w:color="auto"/>
            <w:bottom w:val="none" w:sz="0" w:space="0" w:color="auto"/>
            <w:right w:val="none" w:sz="0" w:space="0" w:color="auto"/>
          </w:divBdr>
        </w:div>
        <w:div w:id="562520631">
          <w:marLeft w:val="274"/>
          <w:marRight w:val="0"/>
          <w:marTop w:val="150"/>
          <w:marBottom w:val="0"/>
          <w:divBdr>
            <w:top w:val="none" w:sz="0" w:space="0" w:color="auto"/>
            <w:left w:val="none" w:sz="0" w:space="0" w:color="auto"/>
            <w:bottom w:val="none" w:sz="0" w:space="0" w:color="auto"/>
            <w:right w:val="none" w:sz="0" w:space="0" w:color="auto"/>
          </w:divBdr>
        </w:div>
        <w:div w:id="912852695">
          <w:marLeft w:val="274"/>
          <w:marRight w:val="0"/>
          <w:marTop w:val="150"/>
          <w:marBottom w:val="0"/>
          <w:divBdr>
            <w:top w:val="none" w:sz="0" w:space="0" w:color="auto"/>
            <w:left w:val="none" w:sz="0" w:space="0" w:color="auto"/>
            <w:bottom w:val="none" w:sz="0" w:space="0" w:color="auto"/>
            <w:right w:val="none" w:sz="0" w:space="0" w:color="auto"/>
          </w:divBdr>
        </w:div>
        <w:div w:id="940186117">
          <w:marLeft w:val="806"/>
          <w:marRight w:val="0"/>
          <w:marTop w:val="75"/>
          <w:marBottom w:val="0"/>
          <w:divBdr>
            <w:top w:val="none" w:sz="0" w:space="0" w:color="auto"/>
            <w:left w:val="none" w:sz="0" w:space="0" w:color="auto"/>
            <w:bottom w:val="none" w:sz="0" w:space="0" w:color="auto"/>
            <w:right w:val="none" w:sz="0" w:space="0" w:color="auto"/>
          </w:divBdr>
        </w:div>
        <w:div w:id="957490448">
          <w:marLeft w:val="274"/>
          <w:marRight w:val="0"/>
          <w:marTop w:val="150"/>
          <w:marBottom w:val="0"/>
          <w:divBdr>
            <w:top w:val="none" w:sz="0" w:space="0" w:color="auto"/>
            <w:left w:val="none" w:sz="0" w:space="0" w:color="auto"/>
            <w:bottom w:val="none" w:sz="0" w:space="0" w:color="auto"/>
            <w:right w:val="none" w:sz="0" w:space="0" w:color="auto"/>
          </w:divBdr>
        </w:div>
        <w:div w:id="980768903">
          <w:marLeft w:val="274"/>
          <w:marRight w:val="0"/>
          <w:marTop w:val="150"/>
          <w:marBottom w:val="0"/>
          <w:divBdr>
            <w:top w:val="none" w:sz="0" w:space="0" w:color="auto"/>
            <w:left w:val="none" w:sz="0" w:space="0" w:color="auto"/>
            <w:bottom w:val="none" w:sz="0" w:space="0" w:color="auto"/>
            <w:right w:val="none" w:sz="0" w:space="0" w:color="auto"/>
          </w:divBdr>
        </w:div>
        <w:div w:id="994800757">
          <w:marLeft w:val="274"/>
          <w:marRight w:val="0"/>
          <w:marTop w:val="150"/>
          <w:marBottom w:val="0"/>
          <w:divBdr>
            <w:top w:val="none" w:sz="0" w:space="0" w:color="auto"/>
            <w:left w:val="none" w:sz="0" w:space="0" w:color="auto"/>
            <w:bottom w:val="none" w:sz="0" w:space="0" w:color="auto"/>
            <w:right w:val="none" w:sz="0" w:space="0" w:color="auto"/>
          </w:divBdr>
        </w:div>
        <w:div w:id="1015305541">
          <w:marLeft w:val="274"/>
          <w:marRight w:val="0"/>
          <w:marTop w:val="150"/>
          <w:marBottom w:val="0"/>
          <w:divBdr>
            <w:top w:val="none" w:sz="0" w:space="0" w:color="auto"/>
            <w:left w:val="none" w:sz="0" w:space="0" w:color="auto"/>
            <w:bottom w:val="none" w:sz="0" w:space="0" w:color="auto"/>
            <w:right w:val="none" w:sz="0" w:space="0" w:color="auto"/>
          </w:divBdr>
        </w:div>
        <w:div w:id="1073896289">
          <w:marLeft w:val="806"/>
          <w:marRight w:val="0"/>
          <w:marTop w:val="75"/>
          <w:marBottom w:val="0"/>
          <w:divBdr>
            <w:top w:val="none" w:sz="0" w:space="0" w:color="auto"/>
            <w:left w:val="none" w:sz="0" w:space="0" w:color="auto"/>
            <w:bottom w:val="none" w:sz="0" w:space="0" w:color="auto"/>
            <w:right w:val="none" w:sz="0" w:space="0" w:color="auto"/>
          </w:divBdr>
        </w:div>
        <w:div w:id="1155100310">
          <w:marLeft w:val="274"/>
          <w:marRight w:val="0"/>
          <w:marTop w:val="150"/>
          <w:marBottom w:val="0"/>
          <w:divBdr>
            <w:top w:val="none" w:sz="0" w:space="0" w:color="auto"/>
            <w:left w:val="none" w:sz="0" w:space="0" w:color="auto"/>
            <w:bottom w:val="none" w:sz="0" w:space="0" w:color="auto"/>
            <w:right w:val="none" w:sz="0" w:space="0" w:color="auto"/>
          </w:divBdr>
        </w:div>
        <w:div w:id="1207599086">
          <w:marLeft w:val="274"/>
          <w:marRight w:val="0"/>
          <w:marTop w:val="150"/>
          <w:marBottom w:val="0"/>
          <w:divBdr>
            <w:top w:val="none" w:sz="0" w:space="0" w:color="auto"/>
            <w:left w:val="none" w:sz="0" w:space="0" w:color="auto"/>
            <w:bottom w:val="none" w:sz="0" w:space="0" w:color="auto"/>
            <w:right w:val="none" w:sz="0" w:space="0" w:color="auto"/>
          </w:divBdr>
        </w:div>
        <w:div w:id="1247298913">
          <w:marLeft w:val="274"/>
          <w:marRight w:val="0"/>
          <w:marTop w:val="150"/>
          <w:marBottom w:val="0"/>
          <w:divBdr>
            <w:top w:val="none" w:sz="0" w:space="0" w:color="auto"/>
            <w:left w:val="none" w:sz="0" w:space="0" w:color="auto"/>
            <w:bottom w:val="none" w:sz="0" w:space="0" w:color="auto"/>
            <w:right w:val="none" w:sz="0" w:space="0" w:color="auto"/>
          </w:divBdr>
        </w:div>
        <w:div w:id="1256673064">
          <w:marLeft w:val="274"/>
          <w:marRight w:val="0"/>
          <w:marTop w:val="150"/>
          <w:marBottom w:val="0"/>
          <w:divBdr>
            <w:top w:val="none" w:sz="0" w:space="0" w:color="auto"/>
            <w:left w:val="none" w:sz="0" w:space="0" w:color="auto"/>
            <w:bottom w:val="none" w:sz="0" w:space="0" w:color="auto"/>
            <w:right w:val="none" w:sz="0" w:space="0" w:color="auto"/>
          </w:divBdr>
        </w:div>
        <w:div w:id="1738551532">
          <w:marLeft w:val="274"/>
          <w:marRight w:val="0"/>
          <w:marTop w:val="150"/>
          <w:marBottom w:val="0"/>
          <w:divBdr>
            <w:top w:val="none" w:sz="0" w:space="0" w:color="auto"/>
            <w:left w:val="none" w:sz="0" w:space="0" w:color="auto"/>
            <w:bottom w:val="none" w:sz="0" w:space="0" w:color="auto"/>
            <w:right w:val="none" w:sz="0" w:space="0" w:color="auto"/>
          </w:divBdr>
        </w:div>
        <w:div w:id="1937594788">
          <w:marLeft w:val="274"/>
          <w:marRight w:val="0"/>
          <w:marTop w:val="150"/>
          <w:marBottom w:val="0"/>
          <w:divBdr>
            <w:top w:val="none" w:sz="0" w:space="0" w:color="auto"/>
            <w:left w:val="none" w:sz="0" w:space="0" w:color="auto"/>
            <w:bottom w:val="none" w:sz="0" w:space="0" w:color="auto"/>
            <w:right w:val="none" w:sz="0" w:space="0" w:color="auto"/>
          </w:divBdr>
        </w:div>
        <w:div w:id="2081826559">
          <w:marLeft w:val="274"/>
          <w:marRight w:val="0"/>
          <w:marTop w:val="150"/>
          <w:marBottom w:val="0"/>
          <w:divBdr>
            <w:top w:val="none" w:sz="0" w:space="0" w:color="auto"/>
            <w:left w:val="none" w:sz="0" w:space="0" w:color="auto"/>
            <w:bottom w:val="none" w:sz="0" w:space="0" w:color="auto"/>
            <w:right w:val="none" w:sz="0" w:space="0" w:color="auto"/>
          </w:divBdr>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2020-05-19T13:22:00Z</cp:lastPrinted>
  <dcterms:created xsi:type="dcterms:W3CDTF">2020-06-09T17:42:00Z</dcterms:created>
  <dcterms:modified xsi:type="dcterms:W3CDTF">2020-06-09T17:42:00Z</dcterms:modified>
</cp:coreProperties>
</file>