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58FB" w14:textId="77777777" w:rsidR="008D44B4" w:rsidRPr="008D44B4" w:rsidRDefault="008D44B4" w:rsidP="008D44B4">
      <w:pPr>
        <w:spacing w:after="0" w:line="240" w:lineRule="auto"/>
        <w:jc w:val="center"/>
        <w:rPr>
          <w:rFonts w:ascii="Arial" w:eastAsia="Calibri" w:hAnsi="Arial" w:cs="Arial"/>
          <w:b/>
          <w:sz w:val="24"/>
          <w:szCs w:val="24"/>
        </w:rPr>
      </w:pPr>
      <w:r w:rsidRPr="008D44B4">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6CA4593E" wp14:editId="6CA4593F">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8D44B4">
        <w:rPr>
          <w:rFonts w:ascii="Arial" w:eastAsia="Calibri" w:hAnsi="Arial" w:cs="Arial"/>
          <w:b/>
          <w:sz w:val="24"/>
          <w:szCs w:val="24"/>
        </w:rPr>
        <w:t xml:space="preserve">NATIONAL ASSEMBLY </w:t>
      </w:r>
    </w:p>
    <w:p w14:paraId="6CA458FC" w14:textId="77777777" w:rsidR="008D44B4" w:rsidRPr="008D44B4" w:rsidRDefault="008D44B4" w:rsidP="008D44B4">
      <w:pPr>
        <w:spacing w:after="0" w:line="240" w:lineRule="auto"/>
        <w:jc w:val="center"/>
        <w:rPr>
          <w:rFonts w:ascii="Arial" w:eastAsia="Calibri" w:hAnsi="Arial" w:cs="Arial"/>
          <w:b/>
          <w:sz w:val="24"/>
          <w:szCs w:val="24"/>
        </w:rPr>
      </w:pPr>
    </w:p>
    <w:p w14:paraId="6CA458FD" w14:textId="77777777" w:rsidR="008D44B4" w:rsidRPr="008D44B4" w:rsidRDefault="008D44B4" w:rsidP="008D44B4">
      <w:pPr>
        <w:spacing w:after="0" w:line="240" w:lineRule="auto"/>
        <w:jc w:val="center"/>
        <w:rPr>
          <w:rFonts w:ascii="Arial" w:eastAsia="Calibri" w:hAnsi="Arial" w:cs="Arial"/>
          <w:b/>
          <w:sz w:val="24"/>
          <w:szCs w:val="24"/>
        </w:rPr>
      </w:pPr>
      <w:r w:rsidRPr="008D44B4">
        <w:rPr>
          <w:rFonts w:ascii="Arial" w:eastAsia="Calibri" w:hAnsi="Arial" w:cs="Arial"/>
          <w:b/>
          <w:sz w:val="24"/>
          <w:szCs w:val="24"/>
        </w:rPr>
        <w:t>WRITTEN REPLY</w:t>
      </w:r>
    </w:p>
    <w:p w14:paraId="6CA458FE" w14:textId="77777777" w:rsidR="008D44B4" w:rsidRPr="008D44B4" w:rsidRDefault="008D44B4" w:rsidP="008D44B4">
      <w:pPr>
        <w:spacing w:after="0" w:line="240" w:lineRule="auto"/>
        <w:jc w:val="center"/>
        <w:rPr>
          <w:rFonts w:ascii="Arial" w:eastAsia="Calibri" w:hAnsi="Arial" w:cs="Arial"/>
          <w:b/>
          <w:sz w:val="24"/>
          <w:szCs w:val="24"/>
        </w:rPr>
      </w:pPr>
    </w:p>
    <w:p w14:paraId="6CA458FF" w14:textId="77777777" w:rsidR="008D44B4" w:rsidRPr="008D44B4" w:rsidRDefault="008D44B4" w:rsidP="008D44B4">
      <w:pPr>
        <w:spacing w:before="120" w:after="60" w:line="360" w:lineRule="auto"/>
        <w:ind w:left="2880"/>
        <w:outlineLvl w:val="0"/>
        <w:rPr>
          <w:rFonts w:ascii="Arial" w:eastAsia="Calibri" w:hAnsi="Arial" w:cs="Arial"/>
          <w:b/>
          <w:bCs/>
          <w:caps/>
          <w:sz w:val="24"/>
          <w:szCs w:val="24"/>
          <w:u w:val="single"/>
        </w:rPr>
      </w:pPr>
      <w:r w:rsidRPr="008D44B4">
        <w:rPr>
          <w:rFonts w:ascii="Arial" w:eastAsia="Calibri" w:hAnsi="Arial" w:cs="Arial"/>
          <w:b/>
          <w:sz w:val="24"/>
          <w:szCs w:val="24"/>
        </w:rPr>
        <w:t xml:space="preserve">QUESTION </w:t>
      </w:r>
      <w:r>
        <w:rPr>
          <w:rFonts w:ascii="Arial" w:eastAsia="Calibri" w:hAnsi="Arial" w:cs="Arial"/>
          <w:b/>
          <w:sz w:val="24"/>
          <w:szCs w:val="24"/>
        </w:rPr>
        <w:t>500</w:t>
      </w:r>
      <w:r w:rsidRPr="008D44B4">
        <w:rPr>
          <w:rFonts w:ascii="Arial" w:eastAsia="Calibri" w:hAnsi="Arial" w:cs="Arial"/>
          <w:b/>
          <w:sz w:val="24"/>
          <w:szCs w:val="24"/>
        </w:rPr>
        <w:t xml:space="preserve"> /</w:t>
      </w:r>
      <w:r w:rsidRPr="008D44B4">
        <w:rPr>
          <w:rFonts w:ascii="Arial" w:eastAsia="Calibri" w:hAnsi="Arial" w:cs="Times New Roman"/>
          <w:b/>
          <w:sz w:val="24"/>
          <w:szCs w:val="24"/>
          <w:lang w:val="en-GB"/>
        </w:rPr>
        <w:t xml:space="preserve"> NW56</w:t>
      </w:r>
      <w:r>
        <w:rPr>
          <w:rFonts w:ascii="Arial" w:eastAsia="Calibri" w:hAnsi="Arial" w:cs="Times New Roman"/>
          <w:b/>
          <w:sz w:val="24"/>
          <w:szCs w:val="24"/>
          <w:lang w:val="en-GB"/>
        </w:rPr>
        <w:t>7</w:t>
      </w:r>
      <w:r w:rsidRPr="008D44B4">
        <w:rPr>
          <w:rFonts w:ascii="Arial" w:eastAsia="Calibri" w:hAnsi="Arial" w:cs="Times New Roman"/>
          <w:b/>
          <w:sz w:val="24"/>
          <w:szCs w:val="24"/>
          <w:lang w:val="en-GB"/>
        </w:rPr>
        <w:t>E</w:t>
      </w:r>
    </w:p>
    <w:p w14:paraId="6CA45900" w14:textId="77777777" w:rsidR="008D44B4" w:rsidRPr="008D44B4" w:rsidRDefault="008D44B4" w:rsidP="008D44B4">
      <w:pPr>
        <w:spacing w:after="0" w:line="240" w:lineRule="auto"/>
        <w:rPr>
          <w:rFonts w:ascii="Arial" w:eastAsia="Calibri" w:hAnsi="Arial" w:cs="Arial"/>
          <w:b/>
          <w:sz w:val="24"/>
          <w:szCs w:val="24"/>
        </w:rPr>
      </w:pPr>
    </w:p>
    <w:p w14:paraId="6CA45901" w14:textId="77777777" w:rsidR="008D44B4" w:rsidRPr="008D44B4" w:rsidRDefault="008D44B4" w:rsidP="008D44B4">
      <w:pPr>
        <w:spacing w:after="0" w:line="240" w:lineRule="auto"/>
        <w:jc w:val="center"/>
        <w:rPr>
          <w:rFonts w:ascii="Arial" w:eastAsia="Calibri" w:hAnsi="Arial" w:cs="Arial"/>
          <w:b/>
          <w:color w:val="000000"/>
        </w:rPr>
      </w:pPr>
    </w:p>
    <w:p w14:paraId="6CA45902" w14:textId="77777777" w:rsidR="008D44B4" w:rsidRPr="008D44B4" w:rsidRDefault="008D44B4" w:rsidP="008D44B4">
      <w:pPr>
        <w:autoSpaceDE w:val="0"/>
        <w:autoSpaceDN w:val="0"/>
        <w:adjustRightInd w:val="0"/>
        <w:spacing w:after="120" w:line="360" w:lineRule="auto"/>
        <w:jc w:val="center"/>
        <w:rPr>
          <w:rFonts w:ascii="Arial" w:eastAsia="Calibri" w:hAnsi="Arial" w:cs="Arial"/>
          <w:b/>
          <w:color w:val="000000"/>
        </w:rPr>
      </w:pPr>
      <w:r w:rsidRPr="008D44B4">
        <w:rPr>
          <w:rFonts w:ascii="Arial" w:eastAsia="Calibri" w:hAnsi="Arial" w:cs="Arial"/>
          <w:b/>
          <w:color w:val="000000"/>
        </w:rPr>
        <w:t>MINISTER OF AGRICULTURE, FORESTRY AND FISHERIES:</w:t>
      </w:r>
    </w:p>
    <w:p w14:paraId="6CA45903" w14:textId="77777777" w:rsidR="008D44B4" w:rsidRPr="008D44B4" w:rsidRDefault="008D44B4" w:rsidP="008D44B4">
      <w:pPr>
        <w:spacing w:before="120" w:after="60" w:line="360" w:lineRule="auto"/>
        <w:jc w:val="center"/>
        <w:outlineLvl w:val="0"/>
        <w:rPr>
          <w:rFonts w:ascii="Arial" w:eastAsia="Calibri" w:hAnsi="Arial" w:cs="Arial"/>
          <w:b/>
          <w:sz w:val="20"/>
          <w:szCs w:val="20"/>
        </w:rPr>
      </w:pPr>
      <w:r w:rsidRPr="008D44B4">
        <w:rPr>
          <w:rFonts w:ascii="Arial" w:eastAsia="Calibri" w:hAnsi="Arial" w:cs="Arial"/>
          <w:b/>
          <w:sz w:val="20"/>
          <w:szCs w:val="20"/>
        </w:rPr>
        <w:t>MS A STEYN (DA) ASKED TO THE MINISTER OF AGRICULTURE, FORESTRY AND FISHERIES</w:t>
      </w:r>
    </w:p>
    <w:p w14:paraId="6CA45904" w14:textId="77777777" w:rsidR="008D44B4" w:rsidRPr="008D44B4" w:rsidRDefault="008D44B4" w:rsidP="008D44B4">
      <w:pPr>
        <w:spacing w:before="120" w:after="60" w:line="360" w:lineRule="auto"/>
        <w:jc w:val="center"/>
        <w:outlineLvl w:val="0"/>
        <w:rPr>
          <w:rFonts w:ascii="Arial" w:eastAsia="Calibri" w:hAnsi="Arial" w:cs="Arial"/>
          <w:b/>
          <w:bCs/>
          <w:caps/>
          <w:u w:val="single"/>
        </w:rPr>
      </w:pPr>
    </w:p>
    <w:p w14:paraId="6CA45905" w14:textId="77777777" w:rsidR="008D44B4" w:rsidRPr="008D44B4" w:rsidRDefault="008D44B4" w:rsidP="008D44B4">
      <w:pPr>
        <w:spacing w:before="120" w:after="60" w:line="360" w:lineRule="auto"/>
        <w:outlineLvl w:val="0"/>
        <w:rPr>
          <w:rFonts w:ascii="Arial" w:eastAsia="Calibri" w:hAnsi="Arial" w:cs="Arial"/>
          <w:b/>
          <w:bCs/>
          <w:caps/>
          <w:u w:val="single"/>
        </w:rPr>
      </w:pPr>
      <w:r w:rsidRPr="008D44B4">
        <w:rPr>
          <w:rFonts w:ascii="Arial" w:eastAsia="Calibri" w:hAnsi="Arial" w:cs="Arial"/>
          <w:b/>
          <w:bCs/>
          <w:caps/>
          <w:u w:val="single"/>
        </w:rPr>
        <w:t>QUESTION:</w:t>
      </w:r>
    </w:p>
    <w:p w14:paraId="6CA45906" w14:textId="77777777" w:rsidR="008D44B4" w:rsidRPr="008D44B4" w:rsidRDefault="008D44B4" w:rsidP="008D44B4">
      <w:pPr>
        <w:spacing w:before="120" w:after="60" w:line="360" w:lineRule="auto"/>
        <w:outlineLvl w:val="0"/>
        <w:rPr>
          <w:rFonts w:ascii="Arial" w:eastAsia="Calibri" w:hAnsi="Arial" w:cs="Arial"/>
          <w:b/>
          <w:bCs/>
          <w:caps/>
          <w:u w:val="single"/>
        </w:rPr>
      </w:pPr>
    </w:p>
    <w:p w14:paraId="6CA45907" w14:textId="77777777" w:rsidR="008D44B4" w:rsidRPr="008D44B4" w:rsidRDefault="008D44B4" w:rsidP="008D44B4">
      <w:pPr>
        <w:spacing w:after="120" w:line="360" w:lineRule="auto"/>
        <w:jc w:val="both"/>
        <w:rPr>
          <w:rFonts w:ascii="Arial" w:eastAsia="Calibri" w:hAnsi="Arial" w:cs="Arial"/>
        </w:rPr>
      </w:pPr>
      <w:r w:rsidRPr="008D44B4">
        <w:rPr>
          <w:rFonts w:ascii="Arial" w:eastAsia="Calibri" w:hAnsi="Arial" w:cs="Arial"/>
        </w:rPr>
        <w:t> (1)  (a) What steps has (</w:t>
      </w:r>
      <w:proofErr w:type="spellStart"/>
      <w:r w:rsidRPr="008D44B4">
        <w:rPr>
          <w:rFonts w:ascii="Arial" w:eastAsia="Calibri" w:hAnsi="Arial" w:cs="Arial"/>
        </w:rPr>
        <w:t>i</w:t>
      </w:r>
      <w:proofErr w:type="spellEnd"/>
      <w:r w:rsidRPr="008D44B4">
        <w:rPr>
          <w:rFonts w:ascii="Arial" w:eastAsia="Calibri" w:hAnsi="Arial" w:cs="Arial"/>
        </w:rPr>
        <w:t>) his department and (ii) the Chief Directorate: Animal and Health taken to improve the Residue Monitoring Plan (RMP) following the findings in the report by the European Commission Directorate-General for Health and Food Safety that was published on 30 May 2017 that there are serious deficiencies in the RMP of the country and (b) what has the budget allocation been for the testing of live animals and animal products over the past five years;</w:t>
      </w:r>
    </w:p>
    <w:p w14:paraId="6CA45908" w14:textId="01F533D8" w:rsidR="008D44B4" w:rsidRPr="008D44B4" w:rsidRDefault="008D44B4" w:rsidP="008D44B4">
      <w:pPr>
        <w:spacing w:after="120" w:line="360" w:lineRule="auto"/>
        <w:jc w:val="both"/>
        <w:rPr>
          <w:rFonts w:ascii="Arial" w:eastAsia="Calibri" w:hAnsi="Arial" w:cs="Arial"/>
          <w:b/>
          <w:bCs/>
        </w:rPr>
      </w:pPr>
      <w:r w:rsidRPr="008D44B4">
        <w:rPr>
          <w:rFonts w:ascii="Arial" w:eastAsia="Calibri" w:hAnsi="Arial" w:cs="Arial"/>
        </w:rPr>
        <w:t>(2)        whether his department or the entities reporting to him test for mycotoxins; if so, (a) which products are tested, (b) how often are mycotoxins tested, (c) what national and international standards are used in this regard, (d) which laboratories or institutions in the country are currently tasked with the (</w:t>
      </w:r>
      <w:proofErr w:type="spellStart"/>
      <w:r w:rsidRPr="008D44B4">
        <w:rPr>
          <w:rFonts w:ascii="Arial" w:eastAsia="Calibri" w:hAnsi="Arial" w:cs="Arial"/>
        </w:rPr>
        <w:t>i</w:t>
      </w:r>
      <w:proofErr w:type="spellEnd"/>
      <w:r w:rsidRPr="008D44B4">
        <w:rPr>
          <w:rFonts w:ascii="Arial" w:eastAsia="Calibri" w:hAnsi="Arial" w:cs="Arial"/>
        </w:rPr>
        <w:t xml:space="preserve">) testing of mycotoxins and (ii) implementation of the RMP and (e) what has the budget allocation been to each laboratory over the past five years?  </w:t>
      </w:r>
      <w:r w:rsidRPr="008D44B4">
        <w:rPr>
          <w:rFonts w:ascii="Arial" w:eastAsia="Calibri" w:hAnsi="Arial" w:cs="Arial"/>
          <w:b/>
          <w:bCs/>
        </w:rPr>
        <w:t>NW56</w:t>
      </w:r>
      <w:r w:rsidR="003A6B67">
        <w:rPr>
          <w:rFonts w:ascii="Arial" w:eastAsia="Calibri" w:hAnsi="Arial" w:cs="Arial"/>
          <w:b/>
          <w:bCs/>
        </w:rPr>
        <w:t>7</w:t>
      </w:r>
      <w:bookmarkStart w:id="0" w:name="_GoBack"/>
      <w:bookmarkEnd w:id="0"/>
      <w:r w:rsidRPr="008D44B4">
        <w:rPr>
          <w:rFonts w:ascii="Arial" w:eastAsia="Calibri" w:hAnsi="Arial" w:cs="Arial"/>
          <w:b/>
          <w:bCs/>
        </w:rPr>
        <w:t>E</w:t>
      </w:r>
    </w:p>
    <w:p w14:paraId="6CA45909" w14:textId="77777777" w:rsidR="008D44B4" w:rsidRPr="008D44B4" w:rsidRDefault="008D44B4" w:rsidP="008D44B4">
      <w:pPr>
        <w:spacing w:before="100" w:beforeAutospacing="1" w:after="100" w:afterAutospacing="1" w:line="240" w:lineRule="auto"/>
        <w:jc w:val="both"/>
        <w:rPr>
          <w:rFonts w:ascii="Arial" w:eastAsia="Times New Roman" w:hAnsi="Arial" w:cs="Arial"/>
          <w:b/>
          <w:u w:val="single"/>
        </w:rPr>
      </w:pPr>
      <w:r w:rsidRPr="008D44B4">
        <w:rPr>
          <w:rFonts w:ascii="Arial" w:eastAsia="Times New Roman" w:hAnsi="Arial" w:cs="Arial"/>
          <w:b/>
          <w:u w:val="single"/>
        </w:rPr>
        <w:t>REPLY:</w:t>
      </w:r>
    </w:p>
    <w:p w14:paraId="6CA4590A" w14:textId="77777777" w:rsidR="008D44B4" w:rsidRDefault="008D44B4" w:rsidP="008D44B4">
      <w:pPr>
        <w:spacing w:after="120" w:line="480" w:lineRule="auto"/>
        <w:ind w:right="794"/>
        <w:jc w:val="both"/>
        <w:rPr>
          <w:rFonts w:ascii="Arial" w:eastAsia="Calibri" w:hAnsi="Arial" w:cs="Arial"/>
          <w:b/>
          <w:sz w:val="20"/>
          <w:szCs w:val="20"/>
        </w:rPr>
      </w:pPr>
    </w:p>
    <w:p w14:paraId="6CA4590B" w14:textId="77777777" w:rsidR="008D44B4" w:rsidRPr="00E91513" w:rsidRDefault="008D44B4" w:rsidP="008D44B4">
      <w:pPr>
        <w:spacing w:after="120" w:line="480" w:lineRule="auto"/>
        <w:ind w:left="709" w:right="794" w:hanging="709"/>
        <w:jc w:val="both"/>
        <w:rPr>
          <w:rFonts w:ascii="Arial" w:eastAsia="Calibri" w:hAnsi="Arial" w:cs="Arial"/>
          <w:b/>
          <w:sz w:val="24"/>
          <w:szCs w:val="24"/>
        </w:rPr>
      </w:pPr>
      <w:r w:rsidRPr="00E91513">
        <w:rPr>
          <w:rFonts w:ascii="Arial" w:eastAsia="Calibri" w:hAnsi="Arial" w:cs="Arial"/>
          <w:b/>
          <w:sz w:val="20"/>
          <w:szCs w:val="20"/>
        </w:rPr>
        <w:t>1.1</w:t>
      </w:r>
      <w:r w:rsidRPr="00E91513">
        <w:rPr>
          <w:rFonts w:ascii="Arial" w:eastAsia="Calibri" w:hAnsi="Arial" w:cs="Arial"/>
          <w:b/>
          <w:sz w:val="24"/>
          <w:szCs w:val="24"/>
        </w:rPr>
        <w:t xml:space="preserve">.      Ostrich </w:t>
      </w:r>
    </w:p>
    <w:p w14:paraId="6CA4590C" w14:textId="77777777" w:rsidR="008D44B4" w:rsidRPr="00E91513" w:rsidRDefault="008D44B4" w:rsidP="008D44B4">
      <w:pPr>
        <w:numPr>
          <w:ilvl w:val="2"/>
          <w:numId w:val="1"/>
        </w:numPr>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t>(a)(</w:t>
      </w:r>
      <w:proofErr w:type="spellStart"/>
      <w:r w:rsidRPr="00E91513">
        <w:rPr>
          <w:rFonts w:ascii="Arial" w:eastAsia="Calibri" w:hAnsi="Arial" w:cs="Arial"/>
          <w:sz w:val="24"/>
          <w:szCs w:val="24"/>
        </w:rPr>
        <w:t>i</w:t>
      </w:r>
      <w:proofErr w:type="spellEnd"/>
      <w:r w:rsidRPr="00E91513">
        <w:rPr>
          <w:rFonts w:ascii="Arial" w:eastAsia="Calibri" w:hAnsi="Arial" w:cs="Arial"/>
          <w:sz w:val="24"/>
          <w:szCs w:val="24"/>
        </w:rPr>
        <w:t xml:space="preserve">) The contribution of the ostrich industry to the economy in terms of value of production is estimated at R 381 million for 2017. As a result of the lack of information on expenditure on production costs, it </w:t>
      </w:r>
      <w:r w:rsidRPr="00E91513">
        <w:rPr>
          <w:rFonts w:ascii="Arial" w:eastAsia="Calibri" w:hAnsi="Arial" w:cs="Arial"/>
          <w:sz w:val="24"/>
          <w:szCs w:val="24"/>
        </w:rPr>
        <w:lastRenderedPageBreak/>
        <w:t>is not possible to determine the contribution to the gross domestic product. (Gross domestic product = value of production less cost of production plus indirect taxes less production subsidies).</w:t>
      </w:r>
    </w:p>
    <w:p w14:paraId="6CA4590D" w14:textId="77777777" w:rsidR="008D44B4" w:rsidRPr="00E91513" w:rsidRDefault="008D44B4" w:rsidP="008D44B4">
      <w:pPr>
        <w:numPr>
          <w:ilvl w:val="2"/>
          <w:numId w:val="1"/>
        </w:numPr>
        <w:spacing w:after="120" w:line="480" w:lineRule="auto"/>
        <w:ind w:left="709" w:right="794"/>
        <w:jc w:val="both"/>
        <w:rPr>
          <w:rFonts w:ascii="Arial" w:eastAsia="Calibri" w:hAnsi="Arial" w:cs="Arial"/>
          <w:sz w:val="24"/>
          <w:szCs w:val="24"/>
        </w:rPr>
      </w:pPr>
      <w:r w:rsidRPr="00E91513">
        <w:rPr>
          <w:rFonts w:ascii="Arial" w:eastAsia="Calibri" w:hAnsi="Arial" w:cs="Arial"/>
          <w:sz w:val="24"/>
          <w:szCs w:val="24"/>
        </w:rPr>
        <w:t>(a)(ii) The value of exports (ostrich) meat, skins and feathers made up 66% of the total value of production in 2017.</w:t>
      </w:r>
    </w:p>
    <w:p w14:paraId="6CA4590E" w14:textId="77777777" w:rsidR="008D44B4" w:rsidRPr="00E91513" w:rsidRDefault="008D44B4" w:rsidP="008D44B4">
      <w:pPr>
        <w:numPr>
          <w:ilvl w:val="2"/>
          <w:numId w:val="1"/>
        </w:numPr>
        <w:spacing w:after="120" w:line="480" w:lineRule="auto"/>
        <w:ind w:left="709" w:right="794"/>
        <w:jc w:val="both"/>
        <w:rPr>
          <w:rFonts w:ascii="Arial" w:eastAsia="Calibri" w:hAnsi="Arial" w:cs="Arial"/>
          <w:sz w:val="24"/>
          <w:szCs w:val="24"/>
        </w:rPr>
      </w:pPr>
      <w:r w:rsidRPr="00E91513">
        <w:rPr>
          <w:rFonts w:ascii="Arial" w:eastAsia="Calibri" w:hAnsi="Arial" w:cs="Arial"/>
          <w:sz w:val="24"/>
          <w:szCs w:val="24"/>
        </w:rPr>
        <w:t>(a)(iii)The number of jobs is estimated at around 35 000.  The ostrich industry, as a result of restrictions on exports due to bird flu, had to scale down on employment.</w:t>
      </w:r>
    </w:p>
    <w:p w14:paraId="6CA4590F" w14:textId="77777777" w:rsidR="008D44B4" w:rsidRPr="00E91513" w:rsidRDefault="008D44B4" w:rsidP="008D44B4">
      <w:pPr>
        <w:numPr>
          <w:ilvl w:val="1"/>
          <w:numId w:val="1"/>
        </w:numPr>
        <w:spacing w:after="120" w:line="480" w:lineRule="auto"/>
        <w:ind w:left="426" w:right="794" w:hanging="426"/>
        <w:jc w:val="both"/>
        <w:rPr>
          <w:rFonts w:ascii="Arial" w:eastAsia="Calibri" w:hAnsi="Arial" w:cs="Arial"/>
          <w:b/>
          <w:sz w:val="24"/>
          <w:szCs w:val="24"/>
        </w:rPr>
      </w:pPr>
      <w:r w:rsidRPr="00E91513">
        <w:rPr>
          <w:rFonts w:ascii="Arial" w:eastAsia="Calibri" w:hAnsi="Arial" w:cs="Arial"/>
          <w:b/>
          <w:sz w:val="24"/>
          <w:szCs w:val="24"/>
        </w:rPr>
        <w:t xml:space="preserve">      </w:t>
      </w:r>
      <w:r w:rsidRPr="00E91513">
        <w:rPr>
          <w:rFonts w:ascii="Arial" w:eastAsia="Calibri" w:hAnsi="Arial" w:cs="Arial"/>
          <w:b/>
          <w:sz w:val="24"/>
          <w:szCs w:val="24"/>
          <w:u w:val="single"/>
        </w:rPr>
        <w:t xml:space="preserve">Crocodile </w:t>
      </w:r>
    </w:p>
    <w:p w14:paraId="6CA45910" w14:textId="77777777" w:rsidR="008D44B4" w:rsidRPr="00E91513" w:rsidRDefault="008D44B4" w:rsidP="008D44B4">
      <w:pPr>
        <w:tabs>
          <w:tab w:val="left" w:pos="709"/>
        </w:tabs>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t>1.2.1</w:t>
      </w:r>
      <w:r w:rsidRPr="00E91513">
        <w:rPr>
          <w:rFonts w:ascii="Arial" w:eastAsia="Calibri" w:hAnsi="Arial" w:cs="Arial"/>
          <w:sz w:val="24"/>
          <w:szCs w:val="24"/>
        </w:rPr>
        <w:tab/>
        <w:t>(</w:t>
      </w:r>
      <w:proofErr w:type="gramStart"/>
      <w:r w:rsidRPr="00E91513">
        <w:rPr>
          <w:rFonts w:ascii="Arial" w:eastAsia="Calibri" w:hAnsi="Arial" w:cs="Arial"/>
          <w:sz w:val="24"/>
          <w:szCs w:val="24"/>
        </w:rPr>
        <w:t>b</w:t>
      </w:r>
      <w:proofErr w:type="gramEnd"/>
      <w:r w:rsidRPr="00E91513">
        <w:rPr>
          <w:rFonts w:ascii="Arial" w:eastAsia="Calibri" w:hAnsi="Arial" w:cs="Arial"/>
          <w:sz w:val="24"/>
          <w:szCs w:val="24"/>
        </w:rPr>
        <w:t>)(</w:t>
      </w:r>
      <w:proofErr w:type="spellStart"/>
      <w:r w:rsidRPr="00E91513">
        <w:rPr>
          <w:rFonts w:ascii="Arial" w:eastAsia="Calibri" w:hAnsi="Arial" w:cs="Arial"/>
          <w:sz w:val="24"/>
          <w:szCs w:val="24"/>
        </w:rPr>
        <w:t>i</w:t>
      </w:r>
      <w:proofErr w:type="spellEnd"/>
      <w:r w:rsidRPr="00E91513">
        <w:rPr>
          <w:rFonts w:ascii="Arial" w:eastAsia="Calibri" w:hAnsi="Arial" w:cs="Arial"/>
          <w:sz w:val="24"/>
          <w:szCs w:val="24"/>
        </w:rPr>
        <w:t>)The crocodile industry mainly exports skins. Value of exports during 2017 is estimated at R20</w:t>
      </w:r>
      <w:proofErr w:type="gramStart"/>
      <w:r w:rsidRPr="00E91513">
        <w:rPr>
          <w:rFonts w:ascii="Arial" w:eastAsia="Calibri" w:hAnsi="Arial" w:cs="Arial"/>
          <w:sz w:val="24"/>
          <w:szCs w:val="24"/>
        </w:rPr>
        <w:t>,5</w:t>
      </w:r>
      <w:proofErr w:type="gramEnd"/>
      <w:r w:rsidRPr="00E91513">
        <w:rPr>
          <w:rFonts w:ascii="Arial" w:eastAsia="Calibri" w:hAnsi="Arial" w:cs="Arial"/>
          <w:sz w:val="24"/>
          <w:szCs w:val="24"/>
        </w:rPr>
        <w:t xml:space="preserve"> million. </w:t>
      </w:r>
    </w:p>
    <w:p w14:paraId="6CA45911" w14:textId="77777777" w:rsidR="008D44B4" w:rsidRPr="00E91513" w:rsidRDefault="008D44B4" w:rsidP="008D44B4">
      <w:pPr>
        <w:tabs>
          <w:tab w:val="left" w:pos="709"/>
        </w:tabs>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t>1.2.2     (</w:t>
      </w:r>
      <w:proofErr w:type="gramStart"/>
      <w:r w:rsidRPr="00E91513">
        <w:rPr>
          <w:rFonts w:ascii="Arial" w:eastAsia="Calibri" w:hAnsi="Arial" w:cs="Arial"/>
          <w:sz w:val="24"/>
          <w:szCs w:val="24"/>
        </w:rPr>
        <w:t>b</w:t>
      </w:r>
      <w:proofErr w:type="gramEnd"/>
      <w:r w:rsidRPr="00E91513">
        <w:rPr>
          <w:rFonts w:ascii="Arial" w:eastAsia="Calibri" w:hAnsi="Arial" w:cs="Arial"/>
          <w:sz w:val="24"/>
          <w:szCs w:val="24"/>
        </w:rPr>
        <w:t>)(ii) Exports represent more than 95% of the total value of production.</w:t>
      </w:r>
    </w:p>
    <w:p w14:paraId="6CA45912" w14:textId="77777777" w:rsidR="008D44B4" w:rsidRPr="00E91513" w:rsidRDefault="008D44B4" w:rsidP="008D44B4">
      <w:pPr>
        <w:numPr>
          <w:ilvl w:val="2"/>
          <w:numId w:val="2"/>
        </w:numPr>
        <w:tabs>
          <w:tab w:val="left" w:pos="709"/>
        </w:tabs>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t xml:space="preserve">(b)(iii) Information on the number of workers employed </w:t>
      </w:r>
      <w:r w:rsidRPr="008D44B4">
        <w:rPr>
          <w:rFonts w:ascii="Arial" w:eastAsia="Calibri" w:hAnsi="Arial" w:cs="Arial"/>
          <w:sz w:val="24"/>
          <w:szCs w:val="24"/>
        </w:rPr>
        <w:t>is</w:t>
      </w:r>
      <w:r w:rsidRPr="00E91513">
        <w:rPr>
          <w:rFonts w:ascii="Arial" w:eastAsia="Calibri" w:hAnsi="Arial" w:cs="Arial"/>
          <w:sz w:val="24"/>
          <w:szCs w:val="24"/>
        </w:rPr>
        <w:t xml:space="preserve"> not readily available but is estimated at between 1 000 to 2 000.</w:t>
      </w:r>
    </w:p>
    <w:p w14:paraId="6CA45913" w14:textId="77777777" w:rsidR="008D44B4" w:rsidRPr="00E91513" w:rsidRDefault="008D44B4" w:rsidP="008D44B4">
      <w:pPr>
        <w:numPr>
          <w:ilvl w:val="1"/>
          <w:numId w:val="2"/>
        </w:numPr>
        <w:spacing w:after="120" w:line="480" w:lineRule="auto"/>
        <w:ind w:left="426" w:right="794" w:hanging="426"/>
        <w:jc w:val="both"/>
        <w:rPr>
          <w:rFonts w:ascii="Arial" w:eastAsia="Calibri" w:hAnsi="Arial" w:cs="Arial"/>
          <w:b/>
          <w:sz w:val="24"/>
          <w:szCs w:val="24"/>
          <w:u w:val="single"/>
        </w:rPr>
      </w:pPr>
      <w:r w:rsidRPr="00E91513">
        <w:rPr>
          <w:rFonts w:ascii="Arial" w:eastAsia="Calibri" w:hAnsi="Arial" w:cs="Arial"/>
          <w:b/>
          <w:sz w:val="24"/>
          <w:szCs w:val="24"/>
        </w:rPr>
        <w:t xml:space="preserve">    </w:t>
      </w:r>
      <w:r w:rsidRPr="00E91513">
        <w:rPr>
          <w:rFonts w:ascii="Arial" w:eastAsia="Calibri" w:hAnsi="Arial" w:cs="Arial"/>
          <w:b/>
          <w:sz w:val="24"/>
          <w:szCs w:val="24"/>
          <w:u w:val="single"/>
        </w:rPr>
        <w:t xml:space="preserve">Game </w:t>
      </w:r>
    </w:p>
    <w:p w14:paraId="6CA45914" w14:textId="77777777" w:rsidR="008D44B4" w:rsidRPr="00E91513" w:rsidRDefault="008D44B4" w:rsidP="008D44B4">
      <w:pPr>
        <w:numPr>
          <w:ilvl w:val="2"/>
          <w:numId w:val="3"/>
        </w:numPr>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t>(c)(</w:t>
      </w:r>
      <w:proofErr w:type="spellStart"/>
      <w:r w:rsidRPr="00E91513">
        <w:rPr>
          <w:rFonts w:ascii="Arial" w:eastAsia="Calibri" w:hAnsi="Arial" w:cs="Arial"/>
          <w:sz w:val="24"/>
          <w:szCs w:val="24"/>
        </w:rPr>
        <w:t>i</w:t>
      </w:r>
      <w:proofErr w:type="spellEnd"/>
      <w:r w:rsidRPr="00E91513">
        <w:rPr>
          <w:rFonts w:ascii="Arial" w:eastAsia="Calibri" w:hAnsi="Arial" w:cs="Arial"/>
          <w:sz w:val="24"/>
          <w:szCs w:val="24"/>
        </w:rPr>
        <w:t xml:space="preserve">)The value of production by the game meat industry is estimated at R6200 million </w:t>
      </w:r>
      <w:r w:rsidR="00A7014F" w:rsidRPr="00A7014F">
        <w:rPr>
          <w:rFonts w:ascii="Arial" w:hAnsi="Arial" w:cs="Arial"/>
          <w:sz w:val="24"/>
          <w:szCs w:val="24"/>
        </w:rPr>
        <w:t>(Six hundred and twenty million rands),</w:t>
      </w:r>
      <w:r w:rsidR="00A7014F" w:rsidRPr="00A7014F">
        <w:rPr>
          <w:rFonts w:ascii="Arial" w:eastAsia="Calibri" w:hAnsi="Arial" w:cs="Arial"/>
          <w:sz w:val="24"/>
          <w:szCs w:val="24"/>
        </w:rPr>
        <w:t xml:space="preserve"> </w:t>
      </w:r>
      <w:r w:rsidRPr="00E91513">
        <w:rPr>
          <w:rFonts w:ascii="Arial" w:eastAsia="Calibri" w:hAnsi="Arial" w:cs="Arial"/>
          <w:sz w:val="24"/>
          <w:szCs w:val="24"/>
        </w:rPr>
        <w:t xml:space="preserve">based on information provided by Wildlife Ranching SA. </w:t>
      </w:r>
    </w:p>
    <w:p w14:paraId="6CA45915" w14:textId="77777777" w:rsidR="008D44B4" w:rsidRPr="00E91513" w:rsidRDefault="008D44B4" w:rsidP="008D44B4">
      <w:pPr>
        <w:numPr>
          <w:ilvl w:val="2"/>
          <w:numId w:val="3"/>
        </w:numPr>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t>(c)(ii) Value of game meat exports during 2017 is estimated at R36 million. Exports represent around 0.6% of the value of total game meat production.</w:t>
      </w:r>
    </w:p>
    <w:p w14:paraId="6CA45916" w14:textId="77777777" w:rsidR="008D44B4" w:rsidRPr="00E91513" w:rsidRDefault="008D44B4" w:rsidP="008D44B4">
      <w:pPr>
        <w:numPr>
          <w:ilvl w:val="2"/>
          <w:numId w:val="3"/>
        </w:numPr>
        <w:spacing w:after="120" w:line="480" w:lineRule="auto"/>
        <w:ind w:left="709" w:right="794" w:hanging="709"/>
        <w:jc w:val="both"/>
        <w:rPr>
          <w:rFonts w:ascii="Arial" w:eastAsia="Calibri" w:hAnsi="Arial" w:cs="Arial"/>
          <w:sz w:val="24"/>
          <w:szCs w:val="24"/>
        </w:rPr>
      </w:pPr>
      <w:r w:rsidRPr="00E91513">
        <w:rPr>
          <w:rFonts w:ascii="Arial" w:eastAsia="Calibri" w:hAnsi="Arial" w:cs="Arial"/>
          <w:sz w:val="24"/>
          <w:szCs w:val="24"/>
        </w:rPr>
        <w:lastRenderedPageBreak/>
        <w:t>(c)(iii)The number of jobs created by the game ranching industry is estimated at between 120 000 and 140 000.</w:t>
      </w:r>
    </w:p>
    <w:p w14:paraId="6CA45917" w14:textId="77777777" w:rsidR="008D44B4" w:rsidRPr="00A7014F" w:rsidRDefault="008D44B4" w:rsidP="00A7014F">
      <w:pPr>
        <w:pStyle w:val="ListParagraph"/>
        <w:numPr>
          <w:ilvl w:val="0"/>
          <w:numId w:val="6"/>
        </w:numPr>
        <w:autoSpaceDE w:val="0"/>
        <w:autoSpaceDN w:val="0"/>
        <w:spacing w:before="100" w:beforeAutospacing="1" w:after="100" w:afterAutospacing="1" w:line="360" w:lineRule="auto"/>
        <w:jc w:val="both"/>
        <w:rPr>
          <w:rFonts w:ascii="Arial" w:eastAsia="Calibri" w:hAnsi="Arial" w:cs="Arial"/>
          <w:sz w:val="24"/>
          <w:szCs w:val="24"/>
        </w:rPr>
      </w:pPr>
      <w:r w:rsidRPr="00A7014F">
        <w:rPr>
          <w:rFonts w:ascii="Arial" w:eastAsia="Calibri" w:hAnsi="Arial" w:cs="Arial"/>
          <w:sz w:val="24"/>
          <w:szCs w:val="24"/>
        </w:rPr>
        <w:t>What is the total monetary value of (a) milk and (b) honey exports to the European Union (</w:t>
      </w:r>
      <w:proofErr w:type="spellStart"/>
      <w:r w:rsidRPr="00A7014F">
        <w:rPr>
          <w:rFonts w:ascii="Arial" w:eastAsia="Calibri" w:hAnsi="Arial" w:cs="Arial"/>
          <w:sz w:val="24"/>
          <w:szCs w:val="24"/>
        </w:rPr>
        <w:t>i</w:t>
      </w:r>
      <w:proofErr w:type="spellEnd"/>
      <w:r w:rsidRPr="00A7014F">
        <w:rPr>
          <w:rFonts w:ascii="Arial" w:eastAsia="Calibri" w:hAnsi="Arial" w:cs="Arial"/>
          <w:sz w:val="24"/>
          <w:szCs w:val="24"/>
        </w:rPr>
        <w:t>) in each of the past five financial years and (ii) since 1 April 2017?      </w:t>
      </w:r>
    </w:p>
    <w:p w14:paraId="6CA45918" w14:textId="77777777" w:rsidR="008D44B4" w:rsidRPr="00E91513" w:rsidRDefault="008D44B4" w:rsidP="008D44B4">
      <w:pPr>
        <w:numPr>
          <w:ilvl w:val="1"/>
          <w:numId w:val="5"/>
        </w:numPr>
        <w:autoSpaceDE w:val="0"/>
        <w:autoSpaceDN w:val="0"/>
        <w:spacing w:before="100" w:beforeAutospacing="1" w:after="100" w:afterAutospacing="1" w:line="360" w:lineRule="auto"/>
        <w:jc w:val="both"/>
        <w:rPr>
          <w:rFonts w:ascii="Arial" w:eastAsia="Calibri" w:hAnsi="Arial" w:cs="Arial"/>
          <w:sz w:val="24"/>
          <w:szCs w:val="24"/>
        </w:rPr>
      </w:pPr>
      <w:r w:rsidRPr="00E91513">
        <w:rPr>
          <w:rFonts w:ascii="Arial" w:eastAsia="Calibri" w:hAnsi="Arial" w:cs="Arial"/>
          <w:sz w:val="24"/>
          <w:szCs w:val="24"/>
        </w:rPr>
        <w:t>The total value of South African exports to the European Union of milk and honey respectively for each of the past five years (2013 to 2017) were as per Table 1 and 2 below.</w:t>
      </w:r>
    </w:p>
    <w:p w14:paraId="6CA45919" w14:textId="77777777" w:rsidR="008D44B4" w:rsidRPr="00E91513" w:rsidRDefault="008D44B4" w:rsidP="008D44B4">
      <w:pPr>
        <w:numPr>
          <w:ilvl w:val="1"/>
          <w:numId w:val="5"/>
        </w:numPr>
        <w:autoSpaceDE w:val="0"/>
        <w:autoSpaceDN w:val="0"/>
        <w:spacing w:before="100" w:beforeAutospacing="1" w:after="100" w:afterAutospacing="1" w:line="360" w:lineRule="auto"/>
        <w:jc w:val="both"/>
        <w:rPr>
          <w:rFonts w:ascii="Arial" w:eastAsia="Calibri" w:hAnsi="Arial" w:cs="Arial"/>
          <w:b/>
          <w:sz w:val="24"/>
          <w:szCs w:val="24"/>
        </w:rPr>
      </w:pPr>
      <w:r w:rsidRPr="00E91513">
        <w:rPr>
          <w:rFonts w:ascii="Arial" w:eastAsia="Calibri" w:hAnsi="Arial" w:cs="Arial"/>
          <w:b/>
          <w:sz w:val="24"/>
          <w:szCs w:val="24"/>
        </w:rPr>
        <w:t xml:space="preserve">Table 1: SA total milk exports to the EU from 2013 to 2017 (concentrated and not; sweetened and not) in </w:t>
      </w:r>
      <w:proofErr w:type="spellStart"/>
      <w:r w:rsidRPr="00E91513">
        <w:rPr>
          <w:rFonts w:ascii="Arial" w:eastAsia="Calibri" w:hAnsi="Arial" w:cs="Arial"/>
          <w:b/>
          <w:sz w:val="24"/>
          <w:szCs w:val="24"/>
        </w:rPr>
        <w:t>Rands</w:t>
      </w:r>
      <w:proofErr w:type="spellEnd"/>
      <w:r w:rsidRPr="00E91513">
        <w:rPr>
          <w:rFonts w:ascii="Arial" w:eastAsia="Calibri" w:hAnsi="Arial" w:cs="Arial"/>
          <w:b/>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17"/>
        <w:gridCol w:w="1126"/>
        <w:gridCol w:w="1126"/>
        <w:gridCol w:w="1126"/>
        <w:gridCol w:w="1126"/>
        <w:gridCol w:w="1127"/>
      </w:tblGrid>
      <w:tr w:rsidR="008D44B4" w:rsidRPr="00E91513" w14:paraId="6CA45921" w14:textId="77777777" w:rsidTr="00915064">
        <w:tc>
          <w:tcPr>
            <w:tcW w:w="1228" w:type="dxa"/>
            <w:shd w:val="clear" w:color="auto" w:fill="auto"/>
          </w:tcPr>
          <w:p w14:paraId="6CA4591A"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Commodity HS Code</w:t>
            </w:r>
          </w:p>
        </w:tc>
        <w:tc>
          <w:tcPr>
            <w:tcW w:w="1217" w:type="dxa"/>
            <w:shd w:val="clear" w:color="auto" w:fill="auto"/>
          </w:tcPr>
          <w:p w14:paraId="6CA4591B"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Description</w:t>
            </w:r>
          </w:p>
        </w:tc>
        <w:tc>
          <w:tcPr>
            <w:tcW w:w="1126" w:type="dxa"/>
            <w:shd w:val="clear" w:color="auto" w:fill="auto"/>
          </w:tcPr>
          <w:p w14:paraId="6CA4591C"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2013</w:t>
            </w:r>
          </w:p>
        </w:tc>
        <w:tc>
          <w:tcPr>
            <w:tcW w:w="1126" w:type="dxa"/>
            <w:shd w:val="clear" w:color="auto" w:fill="auto"/>
          </w:tcPr>
          <w:p w14:paraId="6CA4591D"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2014</w:t>
            </w:r>
          </w:p>
        </w:tc>
        <w:tc>
          <w:tcPr>
            <w:tcW w:w="1126" w:type="dxa"/>
            <w:shd w:val="clear" w:color="auto" w:fill="auto"/>
          </w:tcPr>
          <w:p w14:paraId="6CA4591E"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2015</w:t>
            </w:r>
          </w:p>
        </w:tc>
        <w:tc>
          <w:tcPr>
            <w:tcW w:w="1126" w:type="dxa"/>
            <w:shd w:val="clear" w:color="auto" w:fill="auto"/>
          </w:tcPr>
          <w:p w14:paraId="6CA4591F"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2016</w:t>
            </w:r>
          </w:p>
        </w:tc>
        <w:tc>
          <w:tcPr>
            <w:tcW w:w="1127" w:type="dxa"/>
            <w:shd w:val="clear" w:color="auto" w:fill="auto"/>
          </w:tcPr>
          <w:p w14:paraId="6CA45920"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2017</w:t>
            </w:r>
          </w:p>
        </w:tc>
      </w:tr>
      <w:tr w:rsidR="008D44B4" w:rsidRPr="00E91513" w14:paraId="6CA45929" w14:textId="77777777" w:rsidTr="00915064">
        <w:tc>
          <w:tcPr>
            <w:tcW w:w="1228" w:type="dxa"/>
            <w:shd w:val="clear" w:color="auto" w:fill="auto"/>
          </w:tcPr>
          <w:p w14:paraId="6CA45922"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Total (HS 0401 &amp; HS 0402)</w:t>
            </w:r>
          </w:p>
        </w:tc>
        <w:tc>
          <w:tcPr>
            <w:tcW w:w="1217" w:type="dxa"/>
            <w:shd w:val="clear" w:color="auto" w:fill="auto"/>
          </w:tcPr>
          <w:p w14:paraId="6CA45923"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Milk and cream</w:t>
            </w:r>
          </w:p>
        </w:tc>
        <w:tc>
          <w:tcPr>
            <w:tcW w:w="1126" w:type="dxa"/>
            <w:shd w:val="clear" w:color="auto" w:fill="auto"/>
          </w:tcPr>
          <w:p w14:paraId="6CA45924"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14 000</w:t>
            </w:r>
          </w:p>
        </w:tc>
        <w:tc>
          <w:tcPr>
            <w:tcW w:w="1126" w:type="dxa"/>
            <w:shd w:val="clear" w:color="auto" w:fill="auto"/>
          </w:tcPr>
          <w:p w14:paraId="6CA45925"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23 000</w:t>
            </w:r>
          </w:p>
        </w:tc>
        <w:tc>
          <w:tcPr>
            <w:tcW w:w="1126" w:type="dxa"/>
            <w:shd w:val="clear" w:color="auto" w:fill="auto"/>
          </w:tcPr>
          <w:p w14:paraId="6CA45926"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9 000</w:t>
            </w:r>
          </w:p>
        </w:tc>
        <w:tc>
          <w:tcPr>
            <w:tcW w:w="1126" w:type="dxa"/>
            <w:shd w:val="clear" w:color="auto" w:fill="auto"/>
          </w:tcPr>
          <w:p w14:paraId="6CA45927"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8 000</w:t>
            </w:r>
          </w:p>
        </w:tc>
        <w:tc>
          <w:tcPr>
            <w:tcW w:w="1127" w:type="dxa"/>
            <w:shd w:val="clear" w:color="auto" w:fill="auto"/>
          </w:tcPr>
          <w:p w14:paraId="6CA45928"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26 000</w:t>
            </w:r>
          </w:p>
        </w:tc>
      </w:tr>
    </w:tbl>
    <w:p w14:paraId="6CA4592A" w14:textId="77777777" w:rsidR="008D44B4" w:rsidRPr="00E91513" w:rsidRDefault="008D44B4" w:rsidP="008D44B4">
      <w:pPr>
        <w:spacing w:after="120" w:line="360" w:lineRule="auto"/>
        <w:ind w:left="360"/>
        <w:jc w:val="both"/>
        <w:rPr>
          <w:rFonts w:ascii="Arial" w:eastAsia="Calibri" w:hAnsi="Arial" w:cs="Arial"/>
          <w:sz w:val="24"/>
          <w:szCs w:val="24"/>
        </w:rPr>
      </w:pPr>
      <w:r w:rsidRPr="00E91513">
        <w:rPr>
          <w:rFonts w:ascii="Arial" w:eastAsia="Calibri" w:hAnsi="Arial" w:cs="Arial"/>
          <w:sz w:val="24"/>
          <w:szCs w:val="24"/>
        </w:rPr>
        <w:t>Source: Global Trade Atlas (GTA), 2018</w:t>
      </w:r>
    </w:p>
    <w:p w14:paraId="6CA4592B" w14:textId="77777777" w:rsidR="008D44B4" w:rsidRPr="00E91513" w:rsidRDefault="008D44B4" w:rsidP="008D44B4">
      <w:pPr>
        <w:spacing w:after="120" w:line="360" w:lineRule="auto"/>
        <w:ind w:left="360"/>
        <w:jc w:val="both"/>
        <w:rPr>
          <w:rFonts w:ascii="Arial" w:eastAsia="Calibri" w:hAnsi="Arial" w:cs="Arial"/>
          <w:b/>
          <w:sz w:val="24"/>
          <w:szCs w:val="24"/>
        </w:rPr>
      </w:pPr>
      <w:r w:rsidRPr="00E91513">
        <w:rPr>
          <w:rFonts w:ascii="Arial" w:eastAsia="Calibri" w:hAnsi="Arial" w:cs="Arial"/>
          <w:b/>
          <w:sz w:val="24"/>
          <w:szCs w:val="24"/>
        </w:rPr>
        <w:t xml:space="preserve">    Table 2: SA honey exports to the EU from 2013 to 2017 in </w:t>
      </w:r>
      <w:proofErr w:type="spellStart"/>
      <w:r w:rsidRPr="00E91513">
        <w:rPr>
          <w:rFonts w:ascii="Arial" w:eastAsia="Calibri" w:hAnsi="Arial" w:cs="Arial"/>
          <w:b/>
          <w:sz w:val="24"/>
          <w:szCs w:val="24"/>
        </w:rPr>
        <w:t>Rands</w:t>
      </w:r>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17"/>
        <w:gridCol w:w="1205"/>
        <w:gridCol w:w="1205"/>
        <w:gridCol w:w="1205"/>
        <w:gridCol w:w="1205"/>
        <w:gridCol w:w="1206"/>
      </w:tblGrid>
      <w:tr w:rsidR="008D44B4" w:rsidRPr="00E91513" w14:paraId="6CA45933" w14:textId="77777777" w:rsidTr="00915064">
        <w:tc>
          <w:tcPr>
            <w:tcW w:w="1205" w:type="dxa"/>
            <w:shd w:val="clear" w:color="auto" w:fill="auto"/>
          </w:tcPr>
          <w:p w14:paraId="6CA4592C"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Commodity HS Code</w:t>
            </w:r>
          </w:p>
        </w:tc>
        <w:tc>
          <w:tcPr>
            <w:tcW w:w="1205" w:type="dxa"/>
            <w:shd w:val="clear" w:color="auto" w:fill="auto"/>
          </w:tcPr>
          <w:p w14:paraId="6CA4592D"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Description</w:t>
            </w:r>
          </w:p>
        </w:tc>
        <w:tc>
          <w:tcPr>
            <w:tcW w:w="1205" w:type="dxa"/>
            <w:shd w:val="clear" w:color="auto" w:fill="auto"/>
          </w:tcPr>
          <w:p w14:paraId="6CA4592E"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2013</w:t>
            </w:r>
          </w:p>
        </w:tc>
        <w:tc>
          <w:tcPr>
            <w:tcW w:w="1205" w:type="dxa"/>
            <w:shd w:val="clear" w:color="auto" w:fill="auto"/>
          </w:tcPr>
          <w:p w14:paraId="6CA4592F"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2014</w:t>
            </w:r>
          </w:p>
        </w:tc>
        <w:tc>
          <w:tcPr>
            <w:tcW w:w="1205" w:type="dxa"/>
            <w:shd w:val="clear" w:color="auto" w:fill="auto"/>
          </w:tcPr>
          <w:p w14:paraId="6CA45930"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2015</w:t>
            </w:r>
          </w:p>
        </w:tc>
        <w:tc>
          <w:tcPr>
            <w:tcW w:w="1205" w:type="dxa"/>
            <w:shd w:val="clear" w:color="auto" w:fill="auto"/>
          </w:tcPr>
          <w:p w14:paraId="6CA45931"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2016</w:t>
            </w:r>
          </w:p>
        </w:tc>
        <w:tc>
          <w:tcPr>
            <w:tcW w:w="1206" w:type="dxa"/>
            <w:shd w:val="clear" w:color="auto" w:fill="auto"/>
          </w:tcPr>
          <w:p w14:paraId="6CA45932" w14:textId="77777777" w:rsidR="008D44B4" w:rsidRPr="00E91513" w:rsidRDefault="008D44B4" w:rsidP="00915064">
            <w:pPr>
              <w:spacing w:after="120" w:line="360" w:lineRule="auto"/>
              <w:jc w:val="both"/>
              <w:rPr>
                <w:rFonts w:ascii="Arial" w:eastAsia="Calibri" w:hAnsi="Arial" w:cs="Arial"/>
                <w:b/>
                <w:sz w:val="24"/>
                <w:szCs w:val="24"/>
              </w:rPr>
            </w:pPr>
            <w:r w:rsidRPr="00E91513">
              <w:rPr>
                <w:rFonts w:ascii="Arial" w:eastAsia="Calibri" w:hAnsi="Arial" w:cs="Arial"/>
                <w:b/>
                <w:sz w:val="24"/>
                <w:szCs w:val="24"/>
              </w:rPr>
              <w:t>2017</w:t>
            </w:r>
          </w:p>
        </w:tc>
      </w:tr>
      <w:tr w:rsidR="008D44B4" w:rsidRPr="00E91513" w14:paraId="6CA4593B" w14:textId="77777777" w:rsidTr="00915064">
        <w:tc>
          <w:tcPr>
            <w:tcW w:w="1205" w:type="dxa"/>
            <w:shd w:val="clear" w:color="auto" w:fill="auto"/>
          </w:tcPr>
          <w:p w14:paraId="6CA45934"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0409</w:t>
            </w:r>
          </w:p>
        </w:tc>
        <w:tc>
          <w:tcPr>
            <w:tcW w:w="1205" w:type="dxa"/>
            <w:shd w:val="clear" w:color="auto" w:fill="auto"/>
          </w:tcPr>
          <w:p w14:paraId="6CA45935"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Natural Honey</w:t>
            </w:r>
          </w:p>
        </w:tc>
        <w:tc>
          <w:tcPr>
            <w:tcW w:w="1205" w:type="dxa"/>
            <w:shd w:val="clear" w:color="auto" w:fill="auto"/>
          </w:tcPr>
          <w:p w14:paraId="6CA45936"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0</w:t>
            </w:r>
          </w:p>
        </w:tc>
        <w:tc>
          <w:tcPr>
            <w:tcW w:w="1205" w:type="dxa"/>
            <w:shd w:val="clear" w:color="auto" w:fill="auto"/>
          </w:tcPr>
          <w:p w14:paraId="6CA45937"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908 000</w:t>
            </w:r>
          </w:p>
        </w:tc>
        <w:tc>
          <w:tcPr>
            <w:tcW w:w="1205" w:type="dxa"/>
            <w:shd w:val="clear" w:color="auto" w:fill="auto"/>
          </w:tcPr>
          <w:p w14:paraId="6CA45938"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139 000</w:t>
            </w:r>
          </w:p>
        </w:tc>
        <w:tc>
          <w:tcPr>
            <w:tcW w:w="1205" w:type="dxa"/>
            <w:shd w:val="clear" w:color="auto" w:fill="auto"/>
          </w:tcPr>
          <w:p w14:paraId="6CA45939"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15 000</w:t>
            </w:r>
          </w:p>
        </w:tc>
        <w:tc>
          <w:tcPr>
            <w:tcW w:w="1206" w:type="dxa"/>
            <w:shd w:val="clear" w:color="auto" w:fill="auto"/>
          </w:tcPr>
          <w:p w14:paraId="6CA4593A" w14:textId="77777777" w:rsidR="008D44B4" w:rsidRPr="00E91513" w:rsidRDefault="008D44B4" w:rsidP="00915064">
            <w:pPr>
              <w:spacing w:after="120" w:line="360" w:lineRule="auto"/>
              <w:jc w:val="both"/>
              <w:rPr>
                <w:rFonts w:ascii="Arial" w:eastAsia="Calibri" w:hAnsi="Arial" w:cs="Arial"/>
                <w:sz w:val="24"/>
                <w:szCs w:val="24"/>
              </w:rPr>
            </w:pPr>
            <w:r w:rsidRPr="00E91513">
              <w:rPr>
                <w:rFonts w:ascii="Arial" w:eastAsia="Calibri" w:hAnsi="Arial" w:cs="Arial"/>
                <w:sz w:val="24"/>
                <w:szCs w:val="24"/>
              </w:rPr>
              <w:t>5 000</w:t>
            </w:r>
          </w:p>
        </w:tc>
      </w:tr>
    </w:tbl>
    <w:p w14:paraId="6CA4593C" w14:textId="77777777" w:rsidR="008D44B4" w:rsidRPr="00E91513" w:rsidRDefault="008D44B4" w:rsidP="008D44B4">
      <w:pPr>
        <w:spacing w:after="120" w:line="360" w:lineRule="auto"/>
        <w:ind w:left="360"/>
        <w:jc w:val="both"/>
        <w:rPr>
          <w:rFonts w:ascii="Arial" w:eastAsia="Calibri" w:hAnsi="Arial" w:cs="Arial"/>
          <w:sz w:val="24"/>
          <w:szCs w:val="24"/>
        </w:rPr>
      </w:pPr>
      <w:r w:rsidRPr="00E91513">
        <w:rPr>
          <w:rFonts w:ascii="Arial" w:eastAsia="Calibri" w:hAnsi="Arial" w:cs="Arial"/>
          <w:sz w:val="24"/>
          <w:szCs w:val="24"/>
        </w:rPr>
        <w:t>Source: Global Trade Atlas (GTA), 2018</w:t>
      </w:r>
    </w:p>
    <w:p w14:paraId="6CA4593D" w14:textId="77777777" w:rsidR="005F561C" w:rsidRPr="008D44B4" w:rsidRDefault="003A6B67">
      <w:pPr>
        <w:rPr>
          <w:rFonts w:ascii="Arial" w:hAnsi="Arial" w:cs="Arial"/>
          <w:sz w:val="24"/>
          <w:szCs w:val="24"/>
        </w:rPr>
      </w:pPr>
    </w:p>
    <w:sectPr w:rsidR="005F561C" w:rsidRPr="008D4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380E"/>
    <w:multiLevelType w:val="multilevel"/>
    <w:tmpl w:val="642A0552"/>
    <w:lvl w:ilvl="0">
      <w:start w:val="1"/>
      <w:numFmt w:val="decimal"/>
      <w:lvlText w:val="%1"/>
      <w:lvlJc w:val="left"/>
      <w:pPr>
        <w:ind w:left="435" w:hanging="435"/>
      </w:pPr>
      <w:rPr>
        <w:rFonts w:hint="default"/>
      </w:rPr>
    </w:lvl>
    <w:lvl w:ilvl="1">
      <w:start w:val="2"/>
      <w:numFmt w:val="decimal"/>
      <w:lvlText w:val="%1.%2"/>
      <w:lvlJc w:val="left"/>
      <w:pPr>
        <w:ind w:left="607" w:hanging="435"/>
      </w:pPr>
      <w:rPr>
        <w:rFonts w:hint="default"/>
      </w:rPr>
    </w:lvl>
    <w:lvl w:ilvl="2">
      <w:start w:val="3"/>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1" w15:restartNumberingAfterBreak="0">
    <w:nsid w:val="4B5F486C"/>
    <w:multiLevelType w:val="hybridMultilevel"/>
    <w:tmpl w:val="FAE4C670"/>
    <w:lvl w:ilvl="0" w:tplc="57C6C868">
      <w:start w:val="1"/>
      <w:numFmt w:val="decimal"/>
      <w:lvlText w:val="(%1)"/>
      <w:lvlJc w:val="left"/>
      <w:pPr>
        <w:ind w:left="959" w:hanging="6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54018C"/>
    <w:multiLevelType w:val="multilevel"/>
    <w:tmpl w:val="15EAFB06"/>
    <w:lvl w:ilvl="0">
      <w:start w:val="1"/>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9D20FA2"/>
    <w:multiLevelType w:val="multilevel"/>
    <w:tmpl w:val="5D282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7610E8"/>
    <w:multiLevelType w:val="hybridMultilevel"/>
    <w:tmpl w:val="A2EE1D3E"/>
    <w:lvl w:ilvl="0" w:tplc="CCAEE4D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2A658C"/>
    <w:multiLevelType w:val="multilevel"/>
    <w:tmpl w:val="F6BE9C7C"/>
    <w:lvl w:ilvl="0">
      <w:start w:val="2"/>
      <w:numFmt w:val="decimal"/>
      <w:lvlText w:val="%1."/>
      <w:lvlJc w:val="left"/>
      <w:pPr>
        <w:ind w:left="390" w:hanging="39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B4"/>
    <w:rsid w:val="00186AC3"/>
    <w:rsid w:val="003A6B67"/>
    <w:rsid w:val="00405B27"/>
    <w:rsid w:val="008D44B4"/>
    <w:rsid w:val="00A7014F"/>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58FB"/>
  <w15:docId w15:val="{8E1FAD36-AF25-45FF-848C-72D418D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Philby Lorraine Petersen</cp:lastModifiedBy>
  <cp:revision>2</cp:revision>
  <dcterms:created xsi:type="dcterms:W3CDTF">2018-03-22T13:52:00Z</dcterms:created>
  <dcterms:modified xsi:type="dcterms:W3CDTF">2018-03-23T07:58:00Z</dcterms:modified>
</cp:coreProperties>
</file>