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0E" w:rsidRDefault="001A0DE4" w:rsidP="00D93FBA">
      <w:pPr>
        <w:tabs>
          <w:tab w:val="left" w:pos="6237"/>
        </w:tabs>
        <w:jc w:val="left"/>
        <w:rPr>
          <w:rFonts w:cs="Arial"/>
          <w:b/>
          <w:bCs/>
          <w:sz w:val="24"/>
          <w:szCs w:val="24"/>
          <w:lang w:val="en-US" w:eastAsia="en-US"/>
        </w:rPr>
      </w:pPr>
      <w:r>
        <w:rPr>
          <w:rFonts w:cs="Arial"/>
          <w:b/>
          <w:sz w:val="20"/>
          <w:lang w:val="en-US" w:eastAsia="en-US"/>
        </w:rPr>
        <w:t xml:space="preserve">   </w:t>
      </w:r>
    </w:p>
    <w:p w:rsidR="004D7C0E" w:rsidRDefault="004D7C0E" w:rsidP="005C5955">
      <w:pPr>
        <w:jc w:val="left"/>
        <w:rPr>
          <w:rFonts w:cs="Arial"/>
          <w:b/>
          <w:bCs/>
          <w:sz w:val="24"/>
          <w:szCs w:val="24"/>
          <w:lang w:val="en-US" w:eastAsia="en-US"/>
        </w:rPr>
      </w:pPr>
    </w:p>
    <w:p w:rsidR="004D7C0E" w:rsidRDefault="004D7C0E" w:rsidP="005C5955">
      <w:pPr>
        <w:jc w:val="left"/>
        <w:rPr>
          <w:rFonts w:cs="Arial"/>
          <w:b/>
          <w:bCs/>
          <w:sz w:val="24"/>
          <w:szCs w:val="24"/>
          <w:lang w:val="en-US" w:eastAsia="en-US"/>
        </w:rPr>
      </w:pPr>
    </w:p>
    <w:p w:rsidR="004D7C0E" w:rsidRDefault="004D7C0E" w:rsidP="005C5955">
      <w:pPr>
        <w:jc w:val="left"/>
        <w:rPr>
          <w:rFonts w:cs="Arial"/>
          <w:b/>
          <w:bCs/>
          <w:sz w:val="24"/>
          <w:szCs w:val="24"/>
          <w:lang w:val="en-US" w:eastAsia="en-US"/>
        </w:rPr>
      </w:pPr>
    </w:p>
    <w:p w:rsidR="004D7C0E" w:rsidRDefault="004D7C0E" w:rsidP="005C5955">
      <w:pPr>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2737485</wp:posOffset>
            </wp:positionH>
            <wp:positionV relativeFrom="paragraph">
              <wp:posOffset>78105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4D7C0E">
        <w:rPr>
          <w:b/>
          <w:bCs/>
          <w:sz w:val="24"/>
          <w:szCs w:val="24"/>
        </w:rPr>
        <w:t>499</w:t>
      </w:r>
      <w:r>
        <w:rPr>
          <w:b/>
          <w:bCs/>
          <w:sz w:val="24"/>
          <w:szCs w:val="24"/>
        </w:rPr>
        <w:t xml:space="preserve"> [NO.</w:t>
      </w:r>
      <w:r>
        <w:t xml:space="preserve"> </w:t>
      </w:r>
      <w:r w:rsidR="004D7C0E" w:rsidRPr="004D7C0E">
        <w:rPr>
          <w:rFonts w:cs="Arial"/>
          <w:b/>
          <w:color w:val="000000"/>
          <w:sz w:val="24"/>
          <w:szCs w:val="24"/>
        </w:rPr>
        <w:t>NW564E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960BE">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1050F">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582715">
        <w:rPr>
          <w:b/>
          <w:bCs/>
          <w:sz w:val="24"/>
          <w:szCs w:val="24"/>
        </w:rPr>
        <w:t>11</w:t>
      </w:r>
      <w:bookmarkStart w:id="0" w:name="_GoBack"/>
      <w:bookmarkEnd w:id="0"/>
      <w:r w:rsidR="008C00E6">
        <w:rPr>
          <w:b/>
          <w:bCs/>
          <w:sz w:val="24"/>
          <w:szCs w:val="24"/>
        </w:rPr>
        <w:t xml:space="preserve">  </w:t>
      </w:r>
      <w:r w:rsidR="0051050F">
        <w:rPr>
          <w:b/>
          <w:bCs/>
          <w:sz w:val="24"/>
          <w:szCs w:val="24"/>
        </w:rPr>
        <w:t>MARCH</w:t>
      </w:r>
      <w:r w:rsidR="003D7DE9">
        <w:rPr>
          <w:b/>
          <w:bCs/>
          <w:sz w:val="24"/>
          <w:szCs w:val="24"/>
        </w:rPr>
        <w:t xml:space="preserve"> 2022</w:t>
      </w:r>
    </w:p>
    <w:p w:rsidR="00745B02" w:rsidRDefault="00745B02" w:rsidP="001263CC">
      <w:pPr>
        <w:jc w:val="left"/>
        <w:rPr>
          <w:sz w:val="24"/>
          <w:szCs w:val="24"/>
        </w:rPr>
      </w:pPr>
    </w:p>
    <w:p w:rsidR="003D7DE9" w:rsidRPr="003D7DE9" w:rsidRDefault="004D7C0E" w:rsidP="001263CC">
      <w:pPr>
        <w:spacing w:before="100" w:beforeAutospacing="1" w:after="100" w:afterAutospacing="1"/>
        <w:ind w:left="709" w:hanging="709"/>
        <w:outlineLvl w:val="0"/>
        <w:rPr>
          <w:rFonts w:eastAsia="Calibri" w:cs="Arial"/>
          <w:b/>
          <w:sz w:val="24"/>
          <w:szCs w:val="24"/>
          <w:lang w:eastAsia="en-US"/>
        </w:rPr>
      </w:pPr>
      <w:r>
        <w:rPr>
          <w:rFonts w:cs="Arial"/>
          <w:b/>
          <w:bCs/>
          <w:sz w:val="24"/>
          <w:szCs w:val="24"/>
        </w:rPr>
        <w:t>499</w:t>
      </w:r>
      <w:r w:rsidR="00D0232C">
        <w:rPr>
          <w:rFonts w:cs="Arial"/>
          <w:b/>
          <w:bCs/>
          <w:sz w:val="24"/>
          <w:szCs w:val="24"/>
        </w:rPr>
        <w:t>.</w:t>
      </w:r>
      <w:r w:rsidR="00316968" w:rsidRPr="00667E8D">
        <w:rPr>
          <w:rFonts w:cs="Arial"/>
          <w:b/>
          <w:bCs/>
          <w:sz w:val="24"/>
          <w:szCs w:val="24"/>
        </w:rPr>
        <w:tab/>
      </w:r>
      <w:r w:rsidRPr="004D7C0E">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12564B"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12564B"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4D7C0E" w:rsidRPr="004D7C0E" w:rsidRDefault="004D7C0E" w:rsidP="001263CC">
      <w:pPr>
        <w:spacing w:line="259" w:lineRule="auto"/>
        <w:ind w:left="709"/>
        <w:outlineLvl w:val="0"/>
        <w:rPr>
          <w:rFonts w:eastAsia="Calibri" w:cs="Arial"/>
          <w:b/>
          <w:sz w:val="24"/>
          <w:szCs w:val="24"/>
          <w:lang w:eastAsia="en-US"/>
        </w:rPr>
      </w:pPr>
      <w:r w:rsidRPr="004D7C0E">
        <w:rPr>
          <w:rFonts w:eastAsia="Calibri" w:cs="Arial"/>
          <w:sz w:val="24"/>
          <w:szCs w:val="24"/>
          <w:lang w:eastAsia="en-US"/>
        </w:rPr>
        <w:t xml:space="preserve">Whether her department owes any outstanding monies to the Port St Johns Local Municipality; if not, what is the </w:t>
      </w:r>
      <w:r w:rsidRPr="004D7C0E">
        <w:rPr>
          <w:rFonts w:eastAsia="Calibri" w:cs="Arial"/>
          <w:color w:val="000000"/>
          <w:sz w:val="24"/>
          <w:szCs w:val="24"/>
          <w:lang w:eastAsia="en-US"/>
        </w:rPr>
        <w:t>position</w:t>
      </w:r>
      <w:r w:rsidRPr="004D7C0E">
        <w:rPr>
          <w:rFonts w:eastAsia="Calibri" w:cs="Arial"/>
          <w:sz w:val="24"/>
          <w:szCs w:val="24"/>
          <w:lang w:eastAsia="en-US"/>
        </w:rPr>
        <w:t xml:space="preserve"> in this regard; if so, what (a) amount is owed, (b) periods over which the monies are owed, (c) measures are in place to address the historical debt and (d) measures are in place to ensure that curren</w:t>
      </w:r>
      <w:r>
        <w:rPr>
          <w:rFonts w:eastAsia="Calibri" w:cs="Arial"/>
          <w:sz w:val="24"/>
          <w:szCs w:val="24"/>
          <w:lang w:eastAsia="en-US"/>
        </w:rPr>
        <w:t>t payments are kept up to date?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4D7C0E">
        <w:rPr>
          <w:rFonts w:eastAsia="Calibri" w:cs="Arial"/>
          <w:b/>
          <w:sz w:val="24"/>
          <w:szCs w:val="24"/>
          <w:lang w:eastAsia="en-US"/>
        </w:rPr>
        <w:t>NW564E</w:t>
      </w:r>
    </w:p>
    <w:p w:rsidR="00745B02" w:rsidRDefault="00745B02" w:rsidP="001263CC">
      <w:pPr>
        <w:spacing w:line="259" w:lineRule="auto"/>
        <w:outlineLvl w:val="0"/>
      </w:pPr>
      <w:r>
        <w:rPr>
          <w:b/>
          <w:bCs/>
        </w:rPr>
        <w:t>_______________________________________________________________________________</w:t>
      </w:r>
    </w:p>
    <w:p w:rsidR="009A23E6" w:rsidRDefault="009A23E6" w:rsidP="001263CC">
      <w:pPr>
        <w:rPr>
          <w:b/>
          <w:bCs/>
          <w:sz w:val="24"/>
          <w:szCs w:val="24"/>
          <w:u w:val="single"/>
        </w:rPr>
      </w:pPr>
    </w:p>
    <w:p w:rsidR="00745B02" w:rsidRDefault="00745B02" w:rsidP="001263CC">
      <w:pPr>
        <w:rPr>
          <w:sz w:val="24"/>
          <w:szCs w:val="24"/>
        </w:rPr>
      </w:pPr>
      <w:r>
        <w:rPr>
          <w:b/>
          <w:bCs/>
          <w:sz w:val="24"/>
          <w:szCs w:val="24"/>
          <w:u w:val="single"/>
        </w:rPr>
        <w:t>REPLY</w:t>
      </w:r>
      <w:r>
        <w:rPr>
          <w:b/>
          <w:bCs/>
          <w:sz w:val="24"/>
          <w:szCs w:val="24"/>
        </w:rPr>
        <w:t>:</w:t>
      </w:r>
    </w:p>
    <w:p w:rsidR="00745B02" w:rsidRDefault="00745B02" w:rsidP="001263CC">
      <w:pPr>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D93FBA">
        <w:rPr>
          <w:b/>
          <w:bCs/>
          <w:sz w:val="24"/>
          <w:szCs w:val="24"/>
        </w:rPr>
        <w:t>:</w:t>
      </w:r>
    </w:p>
    <w:p w:rsidR="001263CC" w:rsidRDefault="00D93FBA" w:rsidP="001263CC">
      <w:pPr>
        <w:spacing w:line="360" w:lineRule="auto"/>
        <w:rPr>
          <w:bCs/>
          <w:sz w:val="24"/>
          <w:szCs w:val="24"/>
        </w:rPr>
      </w:pPr>
      <w:r w:rsidRPr="00D93FBA">
        <w:rPr>
          <w:bCs/>
          <w:sz w:val="24"/>
          <w:szCs w:val="24"/>
        </w:rPr>
        <w:t>I have been informed by the Department that in terms of the D</w:t>
      </w:r>
      <w:r w:rsidR="001263CC" w:rsidRPr="00D93FBA">
        <w:rPr>
          <w:bCs/>
          <w:sz w:val="24"/>
          <w:szCs w:val="24"/>
        </w:rPr>
        <w:t>epartment</w:t>
      </w:r>
      <w:r w:rsidRPr="00D93FBA">
        <w:rPr>
          <w:bCs/>
          <w:sz w:val="24"/>
          <w:szCs w:val="24"/>
        </w:rPr>
        <w:t>’s</w:t>
      </w:r>
      <w:r w:rsidR="001263CC" w:rsidRPr="00D93FBA">
        <w:rPr>
          <w:bCs/>
          <w:sz w:val="24"/>
          <w:szCs w:val="24"/>
        </w:rPr>
        <w:t xml:space="preserve"> books </w:t>
      </w:r>
      <w:r w:rsidRPr="00D93FBA">
        <w:rPr>
          <w:bCs/>
          <w:sz w:val="24"/>
          <w:szCs w:val="24"/>
        </w:rPr>
        <w:t>no money is owed to the Port St Johns Municipality.</w:t>
      </w:r>
    </w:p>
    <w:p w:rsidR="00D93FBA" w:rsidRPr="00D93FBA" w:rsidRDefault="00D93FBA" w:rsidP="001263CC">
      <w:pPr>
        <w:spacing w:line="360" w:lineRule="auto"/>
        <w:rPr>
          <w:bCs/>
          <w:sz w:val="24"/>
          <w:szCs w:val="24"/>
        </w:rPr>
      </w:pPr>
    </w:p>
    <w:p w:rsidR="001263CC" w:rsidRPr="00D93FBA" w:rsidRDefault="001263CC" w:rsidP="001263CC">
      <w:pPr>
        <w:spacing w:line="360" w:lineRule="auto"/>
        <w:rPr>
          <w:rFonts w:cs="Arial"/>
          <w:sz w:val="24"/>
          <w:szCs w:val="24"/>
          <w:lang w:val="en-GB"/>
        </w:rPr>
      </w:pPr>
      <w:r w:rsidRPr="00D93FBA">
        <w:rPr>
          <w:rFonts w:cs="Arial"/>
          <w:sz w:val="24"/>
          <w:szCs w:val="24"/>
          <w:lang w:val="en-GB"/>
        </w:rPr>
        <w:lastRenderedPageBreak/>
        <w:t>As at 31</w:t>
      </w:r>
      <w:r w:rsidRPr="00D93FBA">
        <w:rPr>
          <w:rFonts w:cs="Arial"/>
          <w:sz w:val="24"/>
          <w:szCs w:val="24"/>
          <w:vertAlign w:val="superscript"/>
          <w:lang w:val="en-GB"/>
        </w:rPr>
        <w:t>st</w:t>
      </w:r>
      <w:r w:rsidRPr="00D93FBA">
        <w:rPr>
          <w:rFonts w:cs="Arial"/>
          <w:sz w:val="24"/>
          <w:szCs w:val="24"/>
          <w:lang w:val="en-GB"/>
        </w:rPr>
        <w:t xml:space="preserve"> January 2022, the age analysis obtained from the Port St Johns Municipality (PSJ) reflected an outstanding amount of R10 million compromising mostly of historical </w:t>
      </w:r>
      <w:r w:rsidR="00D05FB5" w:rsidRPr="00D93FBA">
        <w:rPr>
          <w:rFonts w:cs="Arial"/>
          <w:sz w:val="24"/>
          <w:szCs w:val="24"/>
          <w:lang w:val="en-GB"/>
        </w:rPr>
        <w:t xml:space="preserve">debt </w:t>
      </w:r>
      <w:r w:rsidRPr="00D93FBA">
        <w:rPr>
          <w:rFonts w:cs="Arial"/>
          <w:sz w:val="24"/>
          <w:szCs w:val="24"/>
          <w:lang w:val="en-GB"/>
        </w:rPr>
        <w:t>that is broken down as follows:</w:t>
      </w:r>
    </w:p>
    <w:tbl>
      <w:tblPr>
        <w:tblW w:w="0" w:type="auto"/>
        <w:tblLook w:val="04A0"/>
      </w:tblPr>
      <w:tblGrid>
        <w:gridCol w:w="1312"/>
        <w:gridCol w:w="1244"/>
        <w:gridCol w:w="1429"/>
        <w:gridCol w:w="1494"/>
        <w:gridCol w:w="1073"/>
        <w:gridCol w:w="1728"/>
        <w:gridCol w:w="1678"/>
      </w:tblGrid>
      <w:tr w:rsidR="001263CC" w:rsidRPr="00FE6FB8" w:rsidTr="000B3DC7">
        <w:trPr>
          <w:trHeight w:val="390"/>
        </w:trPr>
        <w:tc>
          <w:tcPr>
            <w:tcW w:w="0" w:type="auto"/>
            <w:gridSpan w:val="7"/>
            <w:tcBorders>
              <w:top w:val="single" w:sz="8" w:space="0" w:color="FFFFFF"/>
              <w:left w:val="single" w:sz="8" w:space="0" w:color="FFFFFF"/>
              <w:bottom w:val="single" w:sz="12" w:space="0" w:color="FFFFFF"/>
              <w:right w:val="nil"/>
            </w:tcBorders>
            <w:shd w:val="clear" w:color="000000" w:fill="FFC000"/>
            <w:vAlign w:val="center"/>
            <w:hideMark/>
          </w:tcPr>
          <w:p w:rsidR="001263CC" w:rsidRPr="00FE6FB8" w:rsidRDefault="001263CC" w:rsidP="000B3DC7">
            <w:pPr>
              <w:jc w:val="center"/>
              <w:rPr>
                <w:rFonts w:cs="Arial"/>
                <w:b/>
                <w:bCs/>
                <w:color w:val="FFFFFF"/>
                <w:sz w:val="20"/>
                <w:lang w:val="en-US"/>
              </w:rPr>
            </w:pPr>
            <w:r w:rsidRPr="00FE6FB8">
              <w:rPr>
                <w:rFonts w:cs="Arial"/>
                <w:b/>
                <w:bCs/>
                <w:color w:val="FFFFFF"/>
                <w:sz w:val="20"/>
                <w:lang w:val="en-US"/>
              </w:rPr>
              <w:t xml:space="preserve">NATIONAL DEPARTMENT OF PUBLIC WORKS MUNICIPAL SERVICES, RATES &amp; TAXES DEBT AS AT 31 January 2022                                                                              </w:t>
            </w:r>
          </w:p>
        </w:tc>
      </w:tr>
      <w:tr w:rsidR="001263CC" w:rsidRPr="00FE6FB8" w:rsidTr="000B3DC7">
        <w:trPr>
          <w:trHeight w:val="1064"/>
        </w:trPr>
        <w:tc>
          <w:tcPr>
            <w:tcW w:w="0" w:type="auto"/>
            <w:tcBorders>
              <w:top w:val="nil"/>
              <w:left w:val="single" w:sz="8" w:space="0" w:color="FFFFFF"/>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Municipalities</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Opening Balances as at 01 April 2021</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Billing Rates and Services: 01 April 2021 to Jan 2022</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Payments made since 01 April 2021 to 31 January 2022</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Total Debt After Payment</w:t>
            </w:r>
          </w:p>
        </w:tc>
        <w:tc>
          <w:tcPr>
            <w:tcW w:w="1728" w:type="dxa"/>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sidRPr="00FE6FB8">
              <w:rPr>
                <w:rFonts w:cs="Arial"/>
                <w:b/>
                <w:bCs/>
                <w:color w:val="000000"/>
                <w:sz w:val="16"/>
                <w:szCs w:val="16"/>
                <w:lang w:val="en-US"/>
              </w:rPr>
              <w:t>Custody/Ownership Dispute Under Investigation for Verification</w:t>
            </w:r>
            <w:r>
              <w:rPr>
                <w:rFonts w:cs="Arial"/>
                <w:b/>
                <w:bCs/>
                <w:color w:val="000000"/>
                <w:sz w:val="16"/>
                <w:szCs w:val="16"/>
                <w:lang w:val="en-US"/>
              </w:rPr>
              <w:t xml:space="preserve"> by Department</w:t>
            </w:r>
          </w:p>
        </w:tc>
        <w:tc>
          <w:tcPr>
            <w:tcW w:w="1678" w:type="dxa"/>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center"/>
              <w:rPr>
                <w:rFonts w:cs="Arial"/>
                <w:b/>
                <w:bCs/>
                <w:color w:val="000000"/>
                <w:sz w:val="16"/>
                <w:szCs w:val="16"/>
                <w:lang w:val="en-US"/>
              </w:rPr>
            </w:pPr>
            <w:r>
              <w:rPr>
                <w:rFonts w:cs="Arial"/>
                <w:b/>
                <w:bCs/>
                <w:color w:val="000000"/>
                <w:sz w:val="16"/>
                <w:szCs w:val="16"/>
                <w:lang w:val="en-US"/>
              </w:rPr>
              <w:t>Amount Disputed By the Department due to non-allocation of payments</w:t>
            </w:r>
          </w:p>
        </w:tc>
      </w:tr>
      <w:tr w:rsidR="001263CC" w:rsidRPr="00FE6FB8" w:rsidTr="000B3DC7">
        <w:trPr>
          <w:trHeight w:val="330"/>
        </w:trPr>
        <w:tc>
          <w:tcPr>
            <w:tcW w:w="0" w:type="auto"/>
            <w:tcBorders>
              <w:top w:val="nil"/>
              <w:left w:val="single" w:sz="8" w:space="0" w:color="FFFFFF"/>
              <w:bottom w:val="single" w:sz="8" w:space="0" w:color="FFFFFF"/>
              <w:right w:val="single" w:sz="8" w:space="0" w:color="FFFFFF"/>
            </w:tcBorders>
            <w:shd w:val="clear" w:color="auto" w:fill="auto"/>
            <w:vAlign w:val="center"/>
            <w:hideMark/>
          </w:tcPr>
          <w:p w:rsidR="001263CC" w:rsidRPr="00FE6FB8" w:rsidRDefault="001263CC" w:rsidP="000B3DC7">
            <w:pPr>
              <w:jc w:val="left"/>
              <w:rPr>
                <w:rFonts w:cs="Arial"/>
                <w:b/>
                <w:bCs/>
                <w:color w:val="000000"/>
                <w:sz w:val="18"/>
                <w:szCs w:val="18"/>
                <w:lang w:val="en-US"/>
              </w:rPr>
            </w:pPr>
            <w:r w:rsidRPr="00FE6FB8">
              <w:rPr>
                <w:rFonts w:cs="Arial"/>
                <w:b/>
                <w:bCs/>
                <w:color w:val="000000"/>
                <w:sz w:val="18"/>
                <w:szCs w:val="18"/>
                <w:lang w:val="en-US"/>
              </w:rPr>
              <w:t xml:space="preserve"> PSJ </w:t>
            </w:r>
          </w:p>
        </w:tc>
        <w:tc>
          <w:tcPr>
            <w:tcW w:w="0" w:type="auto"/>
            <w:tcBorders>
              <w:top w:val="nil"/>
              <w:left w:val="nil"/>
              <w:bottom w:val="single" w:sz="8" w:space="0" w:color="FFFFFF"/>
              <w:right w:val="single" w:sz="8" w:space="0" w:color="FFFFFF"/>
            </w:tcBorders>
            <w:shd w:val="clear" w:color="auto" w:fill="auto"/>
            <w:vAlign w:val="center"/>
            <w:hideMark/>
          </w:tcPr>
          <w:p w:rsidR="001263CC" w:rsidRPr="00FE6FB8" w:rsidRDefault="001263CC" w:rsidP="000B3DC7">
            <w:pPr>
              <w:jc w:val="right"/>
              <w:rPr>
                <w:rFonts w:cs="Arial"/>
                <w:b/>
                <w:bCs/>
                <w:color w:val="000000"/>
                <w:sz w:val="18"/>
                <w:szCs w:val="18"/>
                <w:lang w:val="en-US"/>
              </w:rPr>
            </w:pPr>
            <w:r>
              <w:rPr>
                <w:rFonts w:cs="Arial"/>
                <w:b/>
                <w:bCs/>
                <w:color w:val="000000"/>
                <w:sz w:val="18"/>
                <w:szCs w:val="18"/>
                <w:lang w:val="en-US"/>
              </w:rPr>
              <w:t xml:space="preserve"> </w:t>
            </w:r>
            <w:r w:rsidRPr="00FE6FB8">
              <w:rPr>
                <w:rFonts w:cs="Arial"/>
                <w:b/>
                <w:bCs/>
                <w:color w:val="000000"/>
                <w:sz w:val="18"/>
                <w:szCs w:val="18"/>
                <w:lang w:val="en-US"/>
              </w:rPr>
              <w:t xml:space="preserve">10 312 579 </w:t>
            </w:r>
          </w:p>
        </w:tc>
        <w:tc>
          <w:tcPr>
            <w:tcW w:w="0" w:type="auto"/>
            <w:tcBorders>
              <w:top w:val="nil"/>
              <w:left w:val="nil"/>
              <w:bottom w:val="single" w:sz="8" w:space="0" w:color="FFFFFF"/>
              <w:right w:val="single" w:sz="8" w:space="0" w:color="FFFFFF"/>
            </w:tcBorders>
            <w:shd w:val="clear" w:color="auto" w:fill="auto"/>
            <w:vAlign w:val="center"/>
            <w:hideMark/>
          </w:tcPr>
          <w:p w:rsidR="001263CC" w:rsidRPr="00FE6FB8" w:rsidRDefault="001263CC" w:rsidP="000B3DC7">
            <w:pPr>
              <w:jc w:val="right"/>
              <w:rPr>
                <w:rFonts w:cs="Arial"/>
                <w:b/>
                <w:bCs/>
                <w:color w:val="000000"/>
                <w:sz w:val="18"/>
                <w:szCs w:val="18"/>
                <w:lang w:val="en-US"/>
              </w:rPr>
            </w:pPr>
            <w:r>
              <w:rPr>
                <w:rFonts w:cs="Arial"/>
                <w:b/>
                <w:bCs/>
                <w:color w:val="000000"/>
                <w:sz w:val="18"/>
                <w:szCs w:val="18"/>
                <w:lang w:val="en-US"/>
              </w:rPr>
              <w:t xml:space="preserve">           </w:t>
            </w:r>
            <w:r w:rsidRPr="00FE6FB8">
              <w:rPr>
                <w:rFonts w:cs="Arial"/>
                <w:b/>
                <w:bCs/>
                <w:color w:val="000000"/>
                <w:sz w:val="18"/>
                <w:szCs w:val="18"/>
                <w:lang w:val="en-US"/>
              </w:rPr>
              <w:t xml:space="preserve">83 806 </w:t>
            </w:r>
          </w:p>
        </w:tc>
        <w:tc>
          <w:tcPr>
            <w:tcW w:w="0" w:type="auto"/>
            <w:tcBorders>
              <w:top w:val="nil"/>
              <w:left w:val="nil"/>
              <w:bottom w:val="single" w:sz="8" w:space="0" w:color="FFFFFF"/>
              <w:right w:val="single" w:sz="8" w:space="0" w:color="FFFFFF"/>
            </w:tcBorders>
            <w:shd w:val="clear" w:color="auto" w:fill="auto"/>
            <w:vAlign w:val="center"/>
            <w:hideMark/>
          </w:tcPr>
          <w:p w:rsidR="001263CC" w:rsidRPr="00FE6FB8" w:rsidRDefault="001263CC" w:rsidP="000B3DC7">
            <w:pPr>
              <w:jc w:val="right"/>
              <w:rPr>
                <w:rFonts w:cs="Arial"/>
                <w:b/>
                <w:bCs/>
                <w:color w:val="000000"/>
                <w:sz w:val="18"/>
                <w:szCs w:val="18"/>
                <w:lang w:val="en-US"/>
              </w:rPr>
            </w:pPr>
            <w:r>
              <w:rPr>
                <w:rFonts w:cs="Arial"/>
                <w:b/>
                <w:bCs/>
                <w:color w:val="000000"/>
                <w:sz w:val="18"/>
                <w:szCs w:val="18"/>
                <w:lang w:val="en-US"/>
              </w:rPr>
              <w:t xml:space="preserve">          </w:t>
            </w:r>
            <w:r w:rsidRPr="00FE6FB8">
              <w:rPr>
                <w:rFonts w:cs="Arial"/>
                <w:b/>
                <w:bCs/>
                <w:color w:val="000000"/>
                <w:sz w:val="18"/>
                <w:szCs w:val="18"/>
                <w:lang w:val="en-US"/>
              </w:rPr>
              <w:t xml:space="preserve">946 442 </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color w:val="000000"/>
                <w:sz w:val="18"/>
                <w:szCs w:val="18"/>
                <w:lang w:val="en-US"/>
              </w:rPr>
            </w:pPr>
            <w:r w:rsidRPr="00FE6FB8">
              <w:rPr>
                <w:rFonts w:cs="Arial"/>
                <w:b/>
                <w:bCs/>
                <w:color w:val="000000"/>
                <w:sz w:val="18"/>
                <w:szCs w:val="18"/>
                <w:lang w:val="en-US"/>
              </w:rPr>
              <w:t xml:space="preserve">9 449 943 </w:t>
            </w:r>
          </w:p>
        </w:tc>
        <w:tc>
          <w:tcPr>
            <w:tcW w:w="1728" w:type="dxa"/>
            <w:tcBorders>
              <w:top w:val="nil"/>
              <w:left w:val="nil"/>
              <w:bottom w:val="single" w:sz="8" w:space="0" w:color="FFFFFF"/>
              <w:right w:val="single" w:sz="8" w:space="0" w:color="FFFFFF"/>
            </w:tcBorders>
            <w:shd w:val="clear" w:color="auto" w:fill="auto"/>
            <w:vAlign w:val="center"/>
            <w:hideMark/>
          </w:tcPr>
          <w:p w:rsidR="001263CC" w:rsidRPr="00FE6FB8" w:rsidRDefault="001263CC" w:rsidP="000B3DC7">
            <w:pPr>
              <w:jc w:val="right"/>
              <w:rPr>
                <w:rFonts w:cs="Arial"/>
                <w:b/>
                <w:bCs/>
                <w:color w:val="000000"/>
                <w:sz w:val="18"/>
                <w:szCs w:val="18"/>
                <w:lang w:val="en-US"/>
              </w:rPr>
            </w:pPr>
            <w:r>
              <w:rPr>
                <w:rFonts w:cs="Arial"/>
                <w:b/>
                <w:bCs/>
                <w:color w:val="000000"/>
                <w:sz w:val="18"/>
                <w:szCs w:val="18"/>
                <w:lang w:val="en-US"/>
              </w:rPr>
              <w:t xml:space="preserve">              </w:t>
            </w:r>
            <w:r w:rsidRPr="00FE6FB8">
              <w:rPr>
                <w:rFonts w:cs="Arial"/>
                <w:b/>
                <w:bCs/>
                <w:color w:val="000000"/>
                <w:sz w:val="18"/>
                <w:szCs w:val="18"/>
                <w:lang w:val="en-US"/>
              </w:rPr>
              <w:t xml:space="preserve">2 521 886 </w:t>
            </w:r>
          </w:p>
        </w:tc>
        <w:tc>
          <w:tcPr>
            <w:tcW w:w="1678" w:type="dxa"/>
            <w:tcBorders>
              <w:top w:val="nil"/>
              <w:left w:val="nil"/>
              <w:bottom w:val="single" w:sz="8" w:space="0" w:color="FFFFFF"/>
              <w:right w:val="single" w:sz="8" w:space="0" w:color="FFFFFF"/>
            </w:tcBorders>
            <w:shd w:val="clear" w:color="auto" w:fill="auto"/>
            <w:vAlign w:val="center"/>
            <w:hideMark/>
          </w:tcPr>
          <w:p w:rsidR="001263CC" w:rsidRPr="00FE6FB8" w:rsidRDefault="001263CC" w:rsidP="000B3DC7">
            <w:pPr>
              <w:jc w:val="right"/>
              <w:rPr>
                <w:rFonts w:cs="Arial"/>
                <w:b/>
                <w:bCs/>
                <w:color w:val="000000"/>
                <w:sz w:val="18"/>
                <w:szCs w:val="18"/>
                <w:lang w:val="en-US"/>
              </w:rPr>
            </w:pPr>
            <w:r>
              <w:rPr>
                <w:rFonts w:cs="Arial"/>
                <w:b/>
                <w:bCs/>
                <w:color w:val="000000"/>
                <w:sz w:val="18"/>
                <w:szCs w:val="18"/>
                <w:lang w:val="en-US"/>
              </w:rPr>
              <w:t xml:space="preserve">       </w:t>
            </w:r>
            <w:r w:rsidRPr="00FE6FB8">
              <w:rPr>
                <w:rFonts w:cs="Arial"/>
                <w:b/>
                <w:bCs/>
                <w:color w:val="000000"/>
                <w:sz w:val="18"/>
                <w:szCs w:val="18"/>
                <w:lang w:val="en-US"/>
              </w:rPr>
              <w:t xml:space="preserve">6 928 057 </w:t>
            </w:r>
          </w:p>
        </w:tc>
      </w:tr>
      <w:tr w:rsidR="001263CC" w:rsidRPr="00FE6FB8" w:rsidTr="000B3DC7">
        <w:trPr>
          <w:trHeight w:val="330"/>
        </w:trPr>
        <w:tc>
          <w:tcPr>
            <w:tcW w:w="0" w:type="auto"/>
            <w:tcBorders>
              <w:top w:val="nil"/>
              <w:left w:val="single" w:sz="8" w:space="0" w:color="FFFFFF"/>
              <w:bottom w:val="single" w:sz="8" w:space="0" w:color="FFFFFF"/>
              <w:right w:val="single" w:sz="8" w:space="0" w:color="FFFFFF"/>
            </w:tcBorders>
            <w:shd w:val="clear" w:color="000000" w:fill="FFC000"/>
            <w:vAlign w:val="center"/>
            <w:hideMark/>
          </w:tcPr>
          <w:p w:rsidR="001263CC" w:rsidRPr="00FE6FB8" w:rsidRDefault="001263CC" w:rsidP="000B3DC7">
            <w:pPr>
              <w:jc w:val="left"/>
              <w:rPr>
                <w:rFonts w:cs="Arial"/>
                <w:b/>
                <w:bCs/>
                <w:sz w:val="18"/>
                <w:szCs w:val="18"/>
                <w:lang w:val="en-US"/>
              </w:rPr>
            </w:pPr>
            <w:r w:rsidRPr="00FE6FB8">
              <w:rPr>
                <w:rFonts w:cs="Arial"/>
                <w:b/>
                <w:bCs/>
                <w:sz w:val="18"/>
                <w:szCs w:val="18"/>
                <w:lang w:val="en-US"/>
              </w:rPr>
              <w:t>GRAND TOTAL</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 10 312 579 </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           83 806 </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          946 442 </w:t>
            </w:r>
          </w:p>
        </w:tc>
        <w:tc>
          <w:tcPr>
            <w:tcW w:w="0" w:type="auto"/>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9 449 943 </w:t>
            </w:r>
          </w:p>
        </w:tc>
        <w:tc>
          <w:tcPr>
            <w:tcW w:w="1728" w:type="dxa"/>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              2 521 886 </w:t>
            </w:r>
          </w:p>
        </w:tc>
        <w:tc>
          <w:tcPr>
            <w:tcW w:w="1678" w:type="dxa"/>
            <w:tcBorders>
              <w:top w:val="nil"/>
              <w:left w:val="nil"/>
              <w:bottom w:val="single" w:sz="8" w:space="0" w:color="FFFFFF"/>
              <w:right w:val="single" w:sz="8" w:space="0" w:color="FFFFFF"/>
            </w:tcBorders>
            <w:shd w:val="clear" w:color="000000" w:fill="FFC000"/>
            <w:vAlign w:val="center"/>
            <w:hideMark/>
          </w:tcPr>
          <w:p w:rsidR="001263CC" w:rsidRPr="00FE6FB8" w:rsidRDefault="001263CC" w:rsidP="000B3DC7">
            <w:pPr>
              <w:jc w:val="right"/>
              <w:rPr>
                <w:rFonts w:cs="Arial"/>
                <w:b/>
                <w:bCs/>
                <w:sz w:val="18"/>
                <w:szCs w:val="18"/>
                <w:lang w:val="en-US"/>
              </w:rPr>
            </w:pPr>
            <w:r w:rsidRPr="00FE6FB8">
              <w:rPr>
                <w:rFonts w:cs="Arial"/>
                <w:b/>
                <w:bCs/>
                <w:sz w:val="18"/>
                <w:szCs w:val="18"/>
                <w:lang w:val="en-US"/>
              </w:rPr>
              <w:t xml:space="preserve">       6 928 057 </w:t>
            </w:r>
          </w:p>
        </w:tc>
      </w:tr>
    </w:tbl>
    <w:p w:rsidR="001263CC" w:rsidRDefault="001263CC" w:rsidP="001263CC">
      <w:pPr>
        <w:spacing w:line="360" w:lineRule="auto"/>
        <w:rPr>
          <w:rFonts w:cs="Arial"/>
          <w:lang w:val="en-GB"/>
        </w:rPr>
      </w:pPr>
    </w:p>
    <w:p w:rsidR="001263CC" w:rsidRPr="001E2292" w:rsidRDefault="001263CC" w:rsidP="001263CC">
      <w:pPr>
        <w:spacing w:line="360" w:lineRule="auto"/>
        <w:rPr>
          <w:rFonts w:cs="Arial"/>
          <w:lang w:val="en-GB"/>
        </w:rPr>
      </w:pPr>
      <w:r w:rsidRPr="001E2292">
        <w:rPr>
          <w:rFonts w:cs="Arial"/>
          <w:lang w:val="en-GB"/>
        </w:rPr>
        <w:t xml:space="preserve">The total amount billed and invoiced by the municipality in the current year (2021/22) amounts to R83 806.00. The payments made since April 2021 to Jan 2022 amounts to R946 442. The amount paid includes the invoices emanating from the opening balance (1 April 2021). </w:t>
      </w:r>
    </w:p>
    <w:p w:rsidR="001263CC" w:rsidRDefault="001263CC" w:rsidP="001263CC">
      <w:pPr>
        <w:spacing w:line="360" w:lineRule="auto"/>
        <w:rPr>
          <w:rFonts w:cs="Arial"/>
          <w:lang w:val="en-GB"/>
        </w:rPr>
      </w:pPr>
    </w:p>
    <w:p w:rsidR="001263CC" w:rsidRPr="001E2292" w:rsidRDefault="001263CC" w:rsidP="001263CC">
      <w:pPr>
        <w:spacing w:line="360" w:lineRule="auto"/>
        <w:rPr>
          <w:rFonts w:cs="Arial"/>
          <w:lang w:val="en-GB"/>
        </w:rPr>
      </w:pPr>
      <w:r w:rsidRPr="001E2292">
        <w:rPr>
          <w:rFonts w:cs="Arial"/>
          <w:lang w:val="en-GB"/>
        </w:rPr>
        <w:t>The a</w:t>
      </w:r>
      <w:r>
        <w:rPr>
          <w:rFonts w:cs="Arial"/>
          <w:lang w:val="en-GB"/>
        </w:rPr>
        <w:t>mount in dispute amounts to R9.</w:t>
      </w:r>
      <w:r w:rsidR="00D93FBA">
        <w:rPr>
          <w:rFonts w:cs="Arial"/>
          <w:lang w:val="en-GB"/>
        </w:rPr>
        <w:t>4 million. The D</w:t>
      </w:r>
      <w:r w:rsidRPr="001E2292">
        <w:rPr>
          <w:rFonts w:cs="Arial"/>
          <w:lang w:val="en-GB"/>
        </w:rPr>
        <w:t>epartment has arranged for a working session from the 7</w:t>
      </w:r>
      <w:r w:rsidRPr="001E2292">
        <w:rPr>
          <w:rFonts w:cs="Arial"/>
          <w:vertAlign w:val="superscript"/>
          <w:lang w:val="en-GB"/>
        </w:rPr>
        <w:t>th</w:t>
      </w:r>
      <w:r w:rsidRPr="001E2292">
        <w:rPr>
          <w:rFonts w:cs="Arial"/>
          <w:lang w:val="en-GB"/>
        </w:rPr>
        <w:t xml:space="preserve"> March 2022 until the 11</w:t>
      </w:r>
      <w:r w:rsidRPr="001E2292">
        <w:rPr>
          <w:rFonts w:cs="Arial"/>
          <w:vertAlign w:val="superscript"/>
          <w:lang w:val="en-GB"/>
        </w:rPr>
        <w:t>th</w:t>
      </w:r>
      <w:r w:rsidRPr="001E2292">
        <w:rPr>
          <w:rFonts w:cs="Arial"/>
          <w:lang w:val="en-GB"/>
        </w:rPr>
        <w:t xml:space="preserve"> March 2022 to resolve the disputed amount. </w:t>
      </w:r>
    </w:p>
    <w:p w:rsidR="001263CC" w:rsidRDefault="001263CC" w:rsidP="001263CC">
      <w:pPr>
        <w:spacing w:line="360" w:lineRule="auto"/>
        <w:rPr>
          <w:rFonts w:cs="Arial"/>
          <w:lang w:val="en-GB"/>
        </w:rPr>
      </w:pPr>
    </w:p>
    <w:p w:rsidR="001263CC" w:rsidRPr="001E2292" w:rsidRDefault="00D93FBA" w:rsidP="001263CC">
      <w:pPr>
        <w:spacing w:line="360" w:lineRule="auto"/>
        <w:rPr>
          <w:rFonts w:cs="Arial"/>
          <w:lang w:val="en-GB"/>
        </w:rPr>
      </w:pPr>
      <w:r>
        <w:rPr>
          <w:rFonts w:cs="Arial"/>
          <w:lang w:val="en-GB"/>
        </w:rPr>
        <w:t>The D</w:t>
      </w:r>
      <w:r w:rsidR="001263CC" w:rsidRPr="001E2292">
        <w:rPr>
          <w:rFonts w:cs="Arial"/>
          <w:lang w:val="en-GB"/>
        </w:rPr>
        <w:t xml:space="preserve">epartment </w:t>
      </w:r>
      <w:r w:rsidR="001263CC">
        <w:rPr>
          <w:rFonts w:cs="Arial"/>
          <w:lang w:val="en-GB"/>
        </w:rPr>
        <w:t xml:space="preserve">remains committed and continues to settle all valid invoices within </w:t>
      </w:r>
      <w:r w:rsidR="001263CC" w:rsidRPr="001E2292">
        <w:rPr>
          <w:rFonts w:cs="Arial"/>
          <w:lang w:val="en-GB"/>
        </w:rPr>
        <w:t>30 days.</w:t>
      </w:r>
    </w:p>
    <w:p w:rsidR="001263CC" w:rsidRPr="00242584" w:rsidRDefault="001263CC" w:rsidP="001263CC">
      <w:pPr>
        <w:spacing w:line="360" w:lineRule="auto"/>
        <w:rPr>
          <w:b/>
          <w:bCs/>
          <w:sz w:val="24"/>
          <w:szCs w:val="24"/>
        </w:rPr>
      </w:pPr>
    </w:p>
    <w:p w:rsidR="001263CC" w:rsidRPr="00242584" w:rsidRDefault="001263CC" w:rsidP="00CD1764">
      <w:pPr>
        <w:spacing w:line="360" w:lineRule="auto"/>
        <w:rPr>
          <w:b/>
          <w:bCs/>
          <w:sz w:val="24"/>
          <w:szCs w:val="24"/>
        </w:rPr>
      </w:pPr>
    </w:p>
    <w:sectPr w:rsidR="001263CC" w:rsidRPr="00242584"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CB" w:rsidRDefault="00FE2DCB" w:rsidP="00B01072">
      <w:r>
        <w:separator/>
      </w:r>
    </w:p>
  </w:endnote>
  <w:endnote w:type="continuationSeparator" w:id="0">
    <w:p w:rsidR="00FE2DCB" w:rsidRDefault="00FE2DC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w:t>
    </w:r>
    <w:r w:rsidR="004D7C0E">
      <w:rPr>
        <w:rFonts w:eastAsiaTheme="majorEastAsia" w:cs="Arial"/>
        <w:b/>
        <w:bCs/>
        <w:sz w:val="18"/>
        <w:szCs w:val="18"/>
        <w:lang w:val="en-US"/>
      </w:rPr>
      <w:t xml:space="preserve"> ASSEMBLY QUESTION NO. 499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4D7C0E" w:rsidRPr="004D7C0E">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12564B" w:rsidRPr="0012564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2564B" w:rsidRPr="0012564B">
      <w:rPr>
        <w:rFonts w:eastAsiaTheme="majorEastAsia" w:cs="Arial"/>
        <w:b/>
        <w:bCs/>
        <w:sz w:val="18"/>
        <w:szCs w:val="18"/>
        <w:lang w:val="en-US"/>
      </w:rPr>
      <w:fldChar w:fldCharType="separate"/>
    </w:r>
    <w:r w:rsidR="00FE2DCB">
      <w:rPr>
        <w:rFonts w:eastAsiaTheme="majorEastAsia" w:cs="Arial"/>
        <w:b/>
        <w:bCs/>
        <w:noProof/>
        <w:sz w:val="18"/>
        <w:szCs w:val="18"/>
        <w:lang w:val="en-US"/>
      </w:rPr>
      <w:t>1</w:t>
    </w:r>
    <w:r w:rsidR="0012564B" w:rsidRPr="00745B02">
      <w:rPr>
        <w:rFonts w:eastAsiaTheme="majorEastAsia" w:cs="Arial"/>
        <w:b/>
        <w:sz w:val="18"/>
        <w:szCs w:val="18"/>
      </w:rPr>
      <w:fldChar w:fldCharType="end"/>
    </w:r>
  </w:p>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p>
  <w:p w:rsidR="0051050F" w:rsidRPr="000B4F40" w:rsidRDefault="0051050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CB" w:rsidRDefault="00FE2DCB" w:rsidP="00B01072">
      <w:r>
        <w:separator/>
      </w:r>
    </w:p>
  </w:footnote>
  <w:footnote w:type="continuationSeparator" w:id="0">
    <w:p w:rsidR="00FE2DCB" w:rsidRDefault="00FE2DCB"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FFB2076"/>
    <w:multiLevelType w:val="hybridMultilevel"/>
    <w:tmpl w:val="72163D22"/>
    <w:lvl w:ilvl="0" w:tplc="3EAEFB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0"/>
  </w:num>
  <w:num w:numId="4">
    <w:abstractNumId w:val="18"/>
  </w:num>
  <w:num w:numId="5">
    <w:abstractNumId w:val="6"/>
  </w:num>
  <w:num w:numId="6">
    <w:abstractNumId w:val="25"/>
  </w:num>
  <w:num w:numId="7">
    <w:abstractNumId w:val="24"/>
  </w:num>
  <w:num w:numId="8">
    <w:abstractNumId w:val="23"/>
  </w:num>
  <w:num w:numId="9">
    <w:abstractNumId w:val="3"/>
  </w:num>
  <w:num w:numId="10">
    <w:abstractNumId w:val="14"/>
  </w:num>
  <w:num w:numId="11">
    <w:abstractNumId w:val="2"/>
  </w:num>
  <w:num w:numId="12">
    <w:abstractNumId w:val="12"/>
  </w:num>
  <w:num w:numId="13">
    <w:abstractNumId w:val="8"/>
  </w:num>
  <w:num w:numId="14">
    <w:abstractNumId w:val="9"/>
  </w:num>
  <w:num w:numId="15">
    <w:abstractNumId w:val="1"/>
  </w:num>
  <w:num w:numId="16">
    <w:abstractNumId w:val="26"/>
  </w:num>
  <w:num w:numId="17">
    <w:abstractNumId w:val="5"/>
  </w:num>
  <w:num w:numId="18">
    <w:abstractNumId w:val="19"/>
  </w:num>
  <w:num w:numId="19">
    <w:abstractNumId w:val="7"/>
  </w:num>
  <w:num w:numId="20">
    <w:abstractNumId w:val="21"/>
  </w:num>
  <w:num w:numId="21">
    <w:abstractNumId w:val="0"/>
  </w:num>
  <w:num w:numId="22">
    <w:abstractNumId w:val="11"/>
  </w:num>
  <w:num w:numId="23">
    <w:abstractNumId w:val="17"/>
  </w:num>
  <w:num w:numId="24">
    <w:abstractNumId w:val="13"/>
  </w:num>
  <w:num w:numId="25">
    <w:abstractNumId w:val="15"/>
  </w:num>
  <w:num w:numId="26">
    <w:abstractNumId w:val="27"/>
  </w:num>
  <w:num w:numId="27">
    <w:abstractNumId w:val="22"/>
  </w:num>
  <w:num w:numId="2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06B"/>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DF5"/>
    <w:rsid w:val="000C5FC2"/>
    <w:rsid w:val="000C70FB"/>
    <w:rsid w:val="000D3F7C"/>
    <w:rsid w:val="000D41E1"/>
    <w:rsid w:val="000D5A5D"/>
    <w:rsid w:val="000D5FA6"/>
    <w:rsid w:val="000D600B"/>
    <w:rsid w:val="000E0C57"/>
    <w:rsid w:val="000E2889"/>
    <w:rsid w:val="000F0B2D"/>
    <w:rsid w:val="000F422F"/>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564B"/>
    <w:rsid w:val="0012628A"/>
    <w:rsid w:val="001263CC"/>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5F94"/>
    <w:rsid w:val="001F65DF"/>
    <w:rsid w:val="001F698C"/>
    <w:rsid w:val="001F6D33"/>
    <w:rsid w:val="00200E04"/>
    <w:rsid w:val="00203E0F"/>
    <w:rsid w:val="00206C11"/>
    <w:rsid w:val="00207F57"/>
    <w:rsid w:val="00211C78"/>
    <w:rsid w:val="002229B7"/>
    <w:rsid w:val="00224229"/>
    <w:rsid w:val="002265CB"/>
    <w:rsid w:val="00230F8F"/>
    <w:rsid w:val="0023195F"/>
    <w:rsid w:val="00232D48"/>
    <w:rsid w:val="0023431F"/>
    <w:rsid w:val="00235BF8"/>
    <w:rsid w:val="00242584"/>
    <w:rsid w:val="00243357"/>
    <w:rsid w:val="002458D7"/>
    <w:rsid w:val="00246B8B"/>
    <w:rsid w:val="00246FF5"/>
    <w:rsid w:val="00247D34"/>
    <w:rsid w:val="00252FD0"/>
    <w:rsid w:val="00257D56"/>
    <w:rsid w:val="00262CC0"/>
    <w:rsid w:val="002730CB"/>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14A2"/>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3F11"/>
    <w:rsid w:val="00335C72"/>
    <w:rsid w:val="00337483"/>
    <w:rsid w:val="00343207"/>
    <w:rsid w:val="003448A1"/>
    <w:rsid w:val="00347E84"/>
    <w:rsid w:val="003500C2"/>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494"/>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06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63D"/>
    <w:rsid w:val="004A2730"/>
    <w:rsid w:val="004A4F90"/>
    <w:rsid w:val="004A7A6D"/>
    <w:rsid w:val="004B0FD4"/>
    <w:rsid w:val="004B1E43"/>
    <w:rsid w:val="004B405B"/>
    <w:rsid w:val="004B4593"/>
    <w:rsid w:val="004B74FC"/>
    <w:rsid w:val="004B7D65"/>
    <w:rsid w:val="004B7D74"/>
    <w:rsid w:val="004B7E4A"/>
    <w:rsid w:val="004C0C86"/>
    <w:rsid w:val="004C13D8"/>
    <w:rsid w:val="004C1C50"/>
    <w:rsid w:val="004C2610"/>
    <w:rsid w:val="004C3C1E"/>
    <w:rsid w:val="004C51FF"/>
    <w:rsid w:val="004C5597"/>
    <w:rsid w:val="004C6EB7"/>
    <w:rsid w:val="004D1573"/>
    <w:rsid w:val="004D2249"/>
    <w:rsid w:val="004D2A34"/>
    <w:rsid w:val="004D2F24"/>
    <w:rsid w:val="004D48E8"/>
    <w:rsid w:val="004D7C0E"/>
    <w:rsid w:val="004E13C8"/>
    <w:rsid w:val="004E27A5"/>
    <w:rsid w:val="004E39EC"/>
    <w:rsid w:val="004E3F6B"/>
    <w:rsid w:val="004E434F"/>
    <w:rsid w:val="004F218F"/>
    <w:rsid w:val="004F329B"/>
    <w:rsid w:val="004F40A9"/>
    <w:rsid w:val="004F4F0B"/>
    <w:rsid w:val="004F61F7"/>
    <w:rsid w:val="004F6630"/>
    <w:rsid w:val="00506A10"/>
    <w:rsid w:val="00507A2E"/>
    <w:rsid w:val="0051050F"/>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2715"/>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00EA"/>
    <w:rsid w:val="005C2A86"/>
    <w:rsid w:val="005C3A2E"/>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5585"/>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3F4D"/>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5610"/>
    <w:rsid w:val="007C4AFA"/>
    <w:rsid w:val="007C5479"/>
    <w:rsid w:val="007C7E13"/>
    <w:rsid w:val="007D1966"/>
    <w:rsid w:val="007D2F55"/>
    <w:rsid w:val="007E0072"/>
    <w:rsid w:val="007E1F76"/>
    <w:rsid w:val="007E2507"/>
    <w:rsid w:val="007E2674"/>
    <w:rsid w:val="007E3B7C"/>
    <w:rsid w:val="007E40F1"/>
    <w:rsid w:val="007E4E3E"/>
    <w:rsid w:val="007E63B3"/>
    <w:rsid w:val="007F02A7"/>
    <w:rsid w:val="007F2807"/>
    <w:rsid w:val="00802030"/>
    <w:rsid w:val="00802784"/>
    <w:rsid w:val="008031CD"/>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294F"/>
    <w:rsid w:val="008A4354"/>
    <w:rsid w:val="008A7085"/>
    <w:rsid w:val="008A7BA7"/>
    <w:rsid w:val="008B1155"/>
    <w:rsid w:val="008B1390"/>
    <w:rsid w:val="008B3660"/>
    <w:rsid w:val="008B4666"/>
    <w:rsid w:val="008C00E6"/>
    <w:rsid w:val="008C472C"/>
    <w:rsid w:val="008C4999"/>
    <w:rsid w:val="008C4C3B"/>
    <w:rsid w:val="008C5801"/>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577F"/>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83809"/>
    <w:rsid w:val="00C9048B"/>
    <w:rsid w:val="00C9224F"/>
    <w:rsid w:val="00C9262B"/>
    <w:rsid w:val="00C92E1C"/>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1E7F"/>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232C"/>
    <w:rsid w:val="00D045C2"/>
    <w:rsid w:val="00D05B9B"/>
    <w:rsid w:val="00D05FB5"/>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3FBA"/>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3E"/>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960BE"/>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501B"/>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728"/>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138"/>
    <w:rsid w:val="00FC336B"/>
    <w:rsid w:val="00FC33F7"/>
    <w:rsid w:val="00FC62C8"/>
    <w:rsid w:val="00FD0F80"/>
    <w:rsid w:val="00FD2499"/>
    <w:rsid w:val="00FD40CF"/>
    <w:rsid w:val="00FD529F"/>
    <w:rsid w:val="00FD67B0"/>
    <w:rsid w:val="00FE2DCA"/>
    <w:rsid w:val="00FE2DCB"/>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44B3-A17D-45E6-A93A-530D79D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2022-03-10T07:04:00Z</cp:lastPrinted>
  <dcterms:created xsi:type="dcterms:W3CDTF">2022-03-16T08:19:00Z</dcterms:created>
  <dcterms:modified xsi:type="dcterms:W3CDTF">2022-03-16T08:19:00Z</dcterms:modified>
</cp:coreProperties>
</file>