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3E" w:rsidRDefault="008C443E" w:rsidP="008C443E">
      <w:pPr>
        <w:spacing w:after="0" w:line="240" w:lineRule="auto"/>
        <w:jc w:val="center"/>
        <w:rPr>
          <w:b/>
          <w:sz w:val="24"/>
          <w:szCs w:val="24"/>
        </w:rPr>
      </w:pPr>
      <w:r>
        <w:rPr>
          <w:noProof/>
          <w:lang w:eastAsia="en-ZA"/>
        </w:rPr>
        <w:drawing>
          <wp:anchor distT="720090" distB="215900" distL="114300" distR="114300" simplePos="0" relativeHeight="251659264" behindDoc="0" locked="1" layoutInCell="1" allowOverlap="1" wp14:anchorId="10D870BE" wp14:editId="5A69E38B">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NATIONAL ASSEMBLY </w:t>
      </w:r>
    </w:p>
    <w:p w:rsidR="008C443E" w:rsidRDefault="008C443E" w:rsidP="008C443E">
      <w:pPr>
        <w:spacing w:after="0" w:line="240" w:lineRule="auto"/>
        <w:jc w:val="center"/>
        <w:rPr>
          <w:b/>
          <w:sz w:val="24"/>
          <w:szCs w:val="24"/>
        </w:rPr>
      </w:pPr>
    </w:p>
    <w:p w:rsidR="008C443E" w:rsidRDefault="008C443E" w:rsidP="008C443E">
      <w:pPr>
        <w:spacing w:after="0" w:line="240" w:lineRule="auto"/>
        <w:jc w:val="center"/>
        <w:rPr>
          <w:b/>
          <w:sz w:val="24"/>
          <w:szCs w:val="24"/>
        </w:rPr>
      </w:pPr>
      <w:r>
        <w:rPr>
          <w:b/>
          <w:sz w:val="24"/>
          <w:szCs w:val="24"/>
        </w:rPr>
        <w:t>WRITTEN REPLY</w:t>
      </w:r>
    </w:p>
    <w:p w:rsidR="008C443E" w:rsidRDefault="008C443E" w:rsidP="008C443E">
      <w:pPr>
        <w:spacing w:after="0" w:line="240" w:lineRule="auto"/>
        <w:jc w:val="center"/>
        <w:rPr>
          <w:b/>
          <w:sz w:val="24"/>
          <w:szCs w:val="24"/>
        </w:rPr>
      </w:pPr>
    </w:p>
    <w:p w:rsidR="008C443E" w:rsidRDefault="008C443E" w:rsidP="008C443E">
      <w:pPr>
        <w:spacing w:before="120" w:after="60"/>
        <w:ind w:left="2880"/>
        <w:outlineLvl w:val="0"/>
        <w:rPr>
          <w:b/>
          <w:bCs/>
          <w:caps/>
          <w:sz w:val="24"/>
          <w:szCs w:val="24"/>
          <w:u w:val="single"/>
        </w:rPr>
      </w:pPr>
      <w:r>
        <w:rPr>
          <w:b/>
          <w:sz w:val="24"/>
          <w:szCs w:val="24"/>
        </w:rPr>
        <w:t>QUESTION 499 /</w:t>
      </w:r>
      <w:r>
        <w:rPr>
          <w:rFonts w:cs="Times New Roman"/>
          <w:b/>
          <w:sz w:val="24"/>
          <w:szCs w:val="24"/>
          <w:lang w:val="en-GB"/>
        </w:rPr>
        <w:t xml:space="preserve"> NW566E</w:t>
      </w:r>
    </w:p>
    <w:p w:rsidR="008C443E" w:rsidRDefault="008C443E" w:rsidP="008C443E">
      <w:pPr>
        <w:spacing w:after="0" w:line="240" w:lineRule="auto"/>
        <w:rPr>
          <w:b/>
          <w:sz w:val="24"/>
          <w:szCs w:val="24"/>
        </w:rPr>
      </w:pPr>
    </w:p>
    <w:p w:rsidR="008C443E" w:rsidRPr="000A4B67" w:rsidRDefault="008C443E" w:rsidP="008C443E">
      <w:pPr>
        <w:spacing w:after="0" w:line="240" w:lineRule="auto"/>
        <w:jc w:val="center"/>
        <w:rPr>
          <w:b/>
          <w:color w:val="000000"/>
          <w:sz w:val="22"/>
          <w:szCs w:val="22"/>
        </w:rPr>
      </w:pPr>
    </w:p>
    <w:p w:rsidR="008C443E" w:rsidRPr="000A4B67" w:rsidRDefault="008C443E" w:rsidP="008C443E">
      <w:pPr>
        <w:autoSpaceDE w:val="0"/>
        <w:autoSpaceDN w:val="0"/>
        <w:adjustRightInd w:val="0"/>
        <w:jc w:val="center"/>
        <w:rPr>
          <w:b/>
          <w:color w:val="000000"/>
          <w:sz w:val="22"/>
          <w:szCs w:val="22"/>
        </w:rPr>
      </w:pPr>
      <w:r w:rsidRPr="000A4B67">
        <w:rPr>
          <w:b/>
          <w:color w:val="000000"/>
          <w:sz w:val="22"/>
          <w:szCs w:val="22"/>
        </w:rPr>
        <w:t>MINISTER OF AGRICULTURE, FORESTRY AND FISHERIES:</w:t>
      </w:r>
    </w:p>
    <w:p w:rsidR="008C443E" w:rsidRDefault="008C443E" w:rsidP="008C443E">
      <w:pPr>
        <w:spacing w:before="120" w:after="60"/>
        <w:jc w:val="center"/>
        <w:outlineLvl w:val="0"/>
        <w:rPr>
          <w:b/>
        </w:rPr>
      </w:pPr>
      <w:r>
        <w:rPr>
          <w:b/>
        </w:rPr>
        <w:t>MS A STEYN (DA) ASKED TO THE MINISTER OF AGRICULTURE, FORESTRY AND FISHERIES</w:t>
      </w:r>
    </w:p>
    <w:p w:rsidR="008C443E" w:rsidRDefault="008C443E" w:rsidP="008C443E">
      <w:pPr>
        <w:spacing w:before="120" w:after="60"/>
        <w:jc w:val="center"/>
        <w:outlineLvl w:val="0"/>
        <w:rPr>
          <w:b/>
          <w:bCs/>
          <w:caps/>
          <w:sz w:val="22"/>
          <w:szCs w:val="22"/>
          <w:u w:val="single"/>
        </w:rPr>
      </w:pPr>
    </w:p>
    <w:p w:rsidR="008C443E" w:rsidRDefault="008C443E" w:rsidP="008C443E">
      <w:pPr>
        <w:spacing w:before="120" w:after="60"/>
        <w:outlineLvl w:val="0"/>
        <w:rPr>
          <w:b/>
          <w:bCs/>
          <w:caps/>
          <w:sz w:val="22"/>
          <w:szCs w:val="22"/>
          <w:u w:val="single"/>
        </w:rPr>
      </w:pPr>
      <w:r w:rsidRPr="000A4B67">
        <w:rPr>
          <w:b/>
          <w:bCs/>
          <w:caps/>
          <w:sz w:val="22"/>
          <w:szCs w:val="22"/>
          <w:u w:val="single"/>
        </w:rPr>
        <w:t>QUESTION:</w:t>
      </w:r>
    </w:p>
    <w:p w:rsidR="008C443E" w:rsidRPr="000A4B67" w:rsidRDefault="008C443E" w:rsidP="008C443E">
      <w:pPr>
        <w:spacing w:before="120" w:after="60"/>
        <w:outlineLvl w:val="0"/>
        <w:rPr>
          <w:b/>
          <w:bCs/>
          <w:caps/>
          <w:sz w:val="22"/>
          <w:szCs w:val="22"/>
          <w:u w:val="single"/>
        </w:rPr>
      </w:pPr>
    </w:p>
    <w:p w:rsidR="008C443E" w:rsidRPr="008C443E" w:rsidRDefault="008C443E" w:rsidP="008C443E">
      <w:pPr>
        <w:jc w:val="both"/>
        <w:rPr>
          <w:sz w:val="22"/>
          <w:szCs w:val="22"/>
        </w:rPr>
      </w:pPr>
      <w:r w:rsidRPr="008C443E">
        <w:rPr>
          <w:sz w:val="22"/>
          <w:szCs w:val="22"/>
        </w:rPr>
        <w:t> (1)  (a) What steps has (</w:t>
      </w:r>
      <w:proofErr w:type="spellStart"/>
      <w:r w:rsidRPr="008C443E">
        <w:rPr>
          <w:sz w:val="22"/>
          <w:szCs w:val="22"/>
        </w:rPr>
        <w:t>i</w:t>
      </w:r>
      <w:proofErr w:type="spellEnd"/>
      <w:r w:rsidRPr="008C443E">
        <w:rPr>
          <w:sz w:val="22"/>
          <w:szCs w:val="22"/>
        </w:rPr>
        <w:t>) his department and (ii) the Chief Directorate: Animal and Health taken to improve the Residue Monitoring Plan (RMP) following the findings in the report by the European Commission Directorate-General for Health and Food Safety that was published on 30 May 2017 that there are serious deficiencies in the RMP of the country and (b) what has the budget allocation been for the testing of live animals and animal products over the past five years;</w:t>
      </w:r>
    </w:p>
    <w:p w:rsidR="008C443E" w:rsidRPr="008C443E" w:rsidRDefault="008C443E" w:rsidP="008C443E">
      <w:pPr>
        <w:jc w:val="both"/>
        <w:rPr>
          <w:b/>
          <w:bCs/>
          <w:sz w:val="22"/>
          <w:szCs w:val="22"/>
        </w:rPr>
      </w:pPr>
      <w:r w:rsidRPr="008C443E">
        <w:rPr>
          <w:sz w:val="22"/>
          <w:szCs w:val="22"/>
        </w:rPr>
        <w:t>(2)        whether his department or the entities reporting to him test for mycotoxins; if so, (a) which products are tested, (b) how often are mycotoxins tested, (c) what national and international standards are used in this regard, (d) which laboratories or institutions in the country are currently tasked with the (</w:t>
      </w:r>
      <w:proofErr w:type="spellStart"/>
      <w:r w:rsidRPr="008C443E">
        <w:rPr>
          <w:sz w:val="22"/>
          <w:szCs w:val="22"/>
        </w:rPr>
        <w:t>i</w:t>
      </w:r>
      <w:proofErr w:type="spellEnd"/>
      <w:r w:rsidRPr="008C443E">
        <w:rPr>
          <w:sz w:val="22"/>
          <w:szCs w:val="22"/>
        </w:rPr>
        <w:t xml:space="preserve">) testing of mycotoxins and (ii) implementation of the RMP and (e) what has the budget allocation been to each laboratory over the past five years?  </w:t>
      </w:r>
      <w:r w:rsidRPr="008C443E">
        <w:rPr>
          <w:b/>
          <w:bCs/>
          <w:sz w:val="22"/>
          <w:szCs w:val="22"/>
        </w:rPr>
        <w:t>NW566E</w:t>
      </w:r>
    </w:p>
    <w:p w:rsidR="008C443E" w:rsidRPr="00727819" w:rsidRDefault="008C443E" w:rsidP="008C443E">
      <w:pPr>
        <w:spacing w:before="100" w:beforeAutospacing="1" w:after="100" w:afterAutospacing="1"/>
        <w:jc w:val="both"/>
        <w:rPr>
          <w:sz w:val="22"/>
          <w:szCs w:val="22"/>
          <w:lang w:val="af-ZA"/>
        </w:rPr>
      </w:pPr>
    </w:p>
    <w:p w:rsidR="00727819" w:rsidRPr="00727819" w:rsidRDefault="00727819" w:rsidP="00727819">
      <w:pPr>
        <w:jc w:val="both"/>
        <w:outlineLvl w:val="0"/>
        <w:rPr>
          <w:b/>
          <w:bCs/>
          <w:sz w:val="22"/>
          <w:szCs w:val="22"/>
        </w:rPr>
      </w:pPr>
      <w:r w:rsidRPr="00727819">
        <w:rPr>
          <w:bCs/>
          <w:sz w:val="22"/>
          <w:szCs w:val="22"/>
        </w:rPr>
        <w:t>  </w:t>
      </w:r>
      <w:r w:rsidRPr="00727819">
        <w:rPr>
          <w:b/>
          <w:bCs/>
          <w:sz w:val="22"/>
          <w:szCs w:val="22"/>
        </w:rPr>
        <w:t>(1)       (a) What steps has (</w:t>
      </w:r>
      <w:proofErr w:type="spellStart"/>
      <w:r w:rsidRPr="00727819">
        <w:rPr>
          <w:b/>
          <w:bCs/>
          <w:sz w:val="22"/>
          <w:szCs w:val="22"/>
        </w:rPr>
        <w:t>i</w:t>
      </w:r>
      <w:proofErr w:type="spellEnd"/>
      <w:r w:rsidRPr="00727819">
        <w:rPr>
          <w:b/>
          <w:bCs/>
          <w:sz w:val="22"/>
          <w:szCs w:val="22"/>
        </w:rPr>
        <w:t>) his department and (ii) the Chief Directorate: Animal and Health taken to improve the Residue Monitoring Plan (RMP) following the findings in the report by the European Commission Directorate-General for Health and Food Safety that was published on 30 May 2017 that there are serious deficiencies in the RMP of the country and (b) what has the budget allocation been for the testing of live animals and animal products over the past five years;</w:t>
      </w:r>
    </w:p>
    <w:p w:rsidR="00727819" w:rsidRPr="00727819" w:rsidRDefault="00727819" w:rsidP="00727819">
      <w:pPr>
        <w:autoSpaceDE w:val="0"/>
        <w:autoSpaceDN w:val="0"/>
        <w:spacing w:before="100" w:beforeAutospacing="1" w:after="100" w:afterAutospacing="1"/>
        <w:jc w:val="both"/>
        <w:rPr>
          <w:sz w:val="22"/>
          <w:szCs w:val="22"/>
        </w:rPr>
      </w:pPr>
      <w:r w:rsidRPr="00727819">
        <w:rPr>
          <w:sz w:val="22"/>
          <w:szCs w:val="22"/>
        </w:rPr>
        <w:lastRenderedPageBreak/>
        <w:t>(1) (</w:t>
      </w:r>
      <w:proofErr w:type="gramStart"/>
      <w:r w:rsidRPr="00727819">
        <w:rPr>
          <w:sz w:val="22"/>
          <w:szCs w:val="22"/>
        </w:rPr>
        <w:t>a</w:t>
      </w:r>
      <w:proofErr w:type="gramEnd"/>
      <w:r w:rsidRPr="00727819">
        <w:rPr>
          <w:sz w:val="22"/>
          <w:szCs w:val="22"/>
        </w:rPr>
        <w:t>) (ii) The following corrective actions were implemented by the Chief Directorate: Animal Production and Health</w:t>
      </w:r>
      <w:r w:rsidRPr="00727819">
        <w:rPr>
          <w:bCs/>
          <w:sz w:val="22"/>
          <w:szCs w:val="22"/>
        </w:rPr>
        <w:t xml:space="preserve"> to improve the Residue Monitoring Plan (RMP) following the findings in the report by the European Commission Directorate-General for Health and Food Safety that was published on 30 May 2017</w:t>
      </w:r>
      <w:r w:rsidRPr="00727819">
        <w:rPr>
          <w:sz w:val="22"/>
          <w:szCs w:val="22"/>
        </w:rPr>
        <w:t xml:space="preserve"> </w:t>
      </w:r>
    </w:p>
    <w:p w:rsidR="00727819" w:rsidRPr="00727819" w:rsidRDefault="00727819" w:rsidP="00727819">
      <w:pPr>
        <w:numPr>
          <w:ilvl w:val="0"/>
          <w:numId w:val="2"/>
        </w:numPr>
        <w:contextualSpacing/>
        <w:rPr>
          <w:b/>
          <w:bCs/>
          <w:sz w:val="22"/>
          <w:szCs w:val="22"/>
        </w:rPr>
      </w:pPr>
      <w:r w:rsidRPr="00727819">
        <w:rPr>
          <w:b/>
          <w:bCs/>
          <w:sz w:val="22"/>
          <w:szCs w:val="22"/>
        </w:rPr>
        <w:t>Capacity in DAFF</w:t>
      </w:r>
    </w:p>
    <w:p w:rsidR="00727819" w:rsidRPr="00727819" w:rsidRDefault="00727819" w:rsidP="00727819">
      <w:pPr>
        <w:contextualSpacing/>
        <w:jc w:val="both"/>
        <w:rPr>
          <w:sz w:val="22"/>
          <w:szCs w:val="22"/>
        </w:rPr>
      </w:pPr>
      <w:r w:rsidRPr="00727819">
        <w:rPr>
          <w:sz w:val="22"/>
          <w:szCs w:val="22"/>
        </w:rPr>
        <w:t>A dedicated state veterinarian has been appointed in the section dealing with the National Chemical Residue Control Programme (NCRCP) to work on risk assessments that will ensure that all relevant veterinary medicinal products, pesticides, heavy metals and prohibited substances are always included in the programme.</w:t>
      </w:r>
    </w:p>
    <w:p w:rsidR="00727819" w:rsidRPr="00727819" w:rsidRDefault="00727819" w:rsidP="00727819">
      <w:pPr>
        <w:contextualSpacing/>
        <w:jc w:val="both"/>
        <w:rPr>
          <w:sz w:val="22"/>
          <w:szCs w:val="22"/>
        </w:rPr>
      </w:pPr>
      <w:r w:rsidRPr="00727819">
        <w:rPr>
          <w:sz w:val="22"/>
          <w:szCs w:val="22"/>
        </w:rPr>
        <w:t>The industry has availed a technical specialist to assist DAFF with the risk analysis and development of the sampling plan.</w:t>
      </w:r>
    </w:p>
    <w:p w:rsidR="00727819" w:rsidRPr="00727819" w:rsidRDefault="00727819" w:rsidP="00727819">
      <w:pPr>
        <w:contextualSpacing/>
        <w:jc w:val="both"/>
        <w:rPr>
          <w:b/>
          <w:bCs/>
          <w:sz w:val="22"/>
          <w:szCs w:val="22"/>
        </w:rPr>
      </w:pPr>
    </w:p>
    <w:p w:rsidR="00727819" w:rsidRPr="00727819" w:rsidRDefault="00727819" w:rsidP="00727819">
      <w:pPr>
        <w:numPr>
          <w:ilvl w:val="0"/>
          <w:numId w:val="2"/>
        </w:numPr>
        <w:contextualSpacing/>
        <w:rPr>
          <w:b/>
          <w:bCs/>
          <w:sz w:val="22"/>
          <w:szCs w:val="22"/>
        </w:rPr>
      </w:pPr>
      <w:r w:rsidRPr="00727819">
        <w:rPr>
          <w:b/>
          <w:bCs/>
          <w:sz w:val="22"/>
          <w:szCs w:val="22"/>
        </w:rPr>
        <w:t>Laboratory Capacity and Proficiency</w:t>
      </w:r>
    </w:p>
    <w:p w:rsidR="00727819" w:rsidRPr="00727819" w:rsidRDefault="00727819" w:rsidP="00727819">
      <w:pPr>
        <w:contextualSpacing/>
        <w:jc w:val="both"/>
        <w:rPr>
          <w:sz w:val="22"/>
          <w:szCs w:val="22"/>
        </w:rPr>
      </w:pPr>
      <w:r w:rsidRPr="00727819">
        <w:rPr>
          <w:sz w:val="22"/>
          <w:szCs w:val="22"/>
        </w:rPr>
        <w:t xml:space="preserve">The Agricultural Research Council – </w:t>
      </w:r>
      <w:proofErr w:type="spellStart"/>
      <w:r w:rsidRPr="00727819">
        <w:rPr>
          <w:sz w:val="22"/>
          <w:szCs w:val="22"/>
        </w:rPr>
        <w:t>Onderstepoort</w:t>
      </w:r>
      <w:proofErr w:type="spellEnd"/>
      <w:r w:rsidRPr="00727819">
        <w:rPr>
          <w:sz w:val="22"/>
          <w:szCs w:val="22"/>
        </w:rPr>
        <w:t xml:space="preserve"> Veterinary Research (ARC-OVR) has been engaged on deficiencies identified in the Chemical Residues testing laboratory in the EU report and measures are being put in place to correct the non-compliances as identified. The OVR has, however, indicated that there is need to procure additional analytical equipment for effective and proficient sample analysis as they currently only have one machine which cannot cope with the load.</w:t>
      </w:r>
    </w:p>
    <w:p w:rsidR="00727819" w:rsidRPr="00727819" w:rsidRDefault="00727819" w:rsidP="00727819">
      <w:pPr>
        <w:contextualSpacing/>
        <w:jc w:val="both"/>
        <w:rPr>
          <w:sz w:val="22"/>
          <w:szCs w:val="22"/>
        </w:rPr>
      </w:pPr>
    </w:p>
    <w:p w:rsidR="00727819" w:rsidRPr="00727819" w:rsidRDefault="00727819" w:rsidP="00727819">
      <w:pPr>
        <w:contextualSpacing/>
        <w:jc w:val="both"/>
        <w:rPr>
          <w:sz w:val="22"/>
          <w:szCs w:val="22"/>
        </w:rPr>
      </w:pPr>
      <w:r w:rsidRPr="00727819">
        <w:rPr>
          <w:sz w:val="22"/>
          <w:szCs w:val="22"/>
        </w:rPr>
        <w:t>Private laboratories have been engaged to process samples whilst the ARC-OVR laboratory is currently working on improving their laboratory capacity and proficiency. The industry will pay for the analysis of the samples at these laboratories and are currently engaging the laboratories to enter into Service Level Agreements.</w:t>
      </w:r>
    </w:p>
    <w:p w:rsidR="00727819" w:rsidRPr="00727819" w:rsidRDefault="00727819" w:rsidP="00727819">
      <w:pPr>
        <w:autoSpaceDE w:val="0"/>
        <w:autoSpaceDN w:val="0"/>
        <w:spacing w:before="100" w:beforeAutospacing="1" w:after="100" w:afterAutospacing="1"/>
        <w:jc w:val="both"/>
        <w:rPr>
          <w:sz w:val="22"/>
          <w:szCs w:val="22"/>
        </w:rPr>
      </w:pPr>
      <w:r w:rsidRPr="00727819">
        <w:rPr>
          <w:sz w:val="22"/>
          <w:szCs w:val="22"/>
        </w:rPr>
        <w:t>A dedicated Quality Officer was appointed at the OVR Laboratory. The Quality Officer together with the Laboratory Manager will ensure the participation of the laboratory in proficiency testing schemes.</w:t>
      </w:r>
    </w:p>
    <w:p w:rsidR="00727819" w:rsidRPr="00727819" w:rsidRDefault="00727819" w:rsidP="00727819">
      <w:pPr>
        <w:autoSpaceDE w:val="0"/>
        <w:autoSpaceDN w:val="0"/>
        <w:spacing w:before="100" w:beforeAutospacing="1" w:after="100" w:afterAutospacing="1"/>
        <w:jc w:val="both"/>
        <w:rPr>
          <w:sz w:val="22"/>
          <w:szCs w:val="22"/>
        </w:rPr>
      </w:pPr>
    </w:p>
    <w:p w:rsidR="00727819" w:rsidRPr="00727819" w:rsidRDefault="00727819" w:rsidP="00727819">
      <w:pPr>
        <w:numPr>
          <w:ilvl w:val="0"/>
          <w:numId w:val="2"/>
        </w:numPr>
        <w:contextualSpacing/>
        <w:rPr>
          <w:b/>
          <w:bCs/>
          <w:sz w:val="22"/>
          <w:szCs w:val="22"/>
        </w:rPr>
      </w:pPr>
      <w:r w:rsidRPr="00727819">
        <w:rPr>
          <w:b/>
          <w:bCs/>
          <w:sz w:val="22"/>
          <w:szCs w:val="22"/>
        </w:rPr>
        <w:t xml:space="preserve">Sampling Methodology </w:t>
      </w:r>
    </w:p>
    <w:p w:rsidR="00727819" w:rsidRPr="00727819" w:rsidRDefault="00727819" w:rsidP="00727819">
      <w:pPr>
        <w:contextualSpacing/>
        <w:rPr>
          <w:sz w:val="22"/>
          <w:szCs w:val="22"/>
        </w:rPr>
      </w:pPr>
      <w:r w:rsidRPr="00727819">
        <w:rPr>
          <w:sz w:val="22"/>
          <w:szCs w:val="22"/>
        </w:rPr>
        <w:t>The sampling plan has been revised in line with the recommendations of the EU. The Standard Operating Procedure (SOP) for sample registration at the laboratory has been updated.</w:t>
      </w:r>
    </w:p>
    <w:p w:rsidR="00727819" w:rsidRPr="00727819" w:rsidRDefault="00727819" w:rsidP="00727819">
      <w:pPr>
        <w:contextualSpacing/>
        <w:rPr>
          <w:b/>
          <w:bCs/>
          <w:sz w:val="22"/>
          <w:szCs w:val="22"/>
        </w:rPr>
      </w:pPr>
    </w:p>
    <w:p w:rsidR="00727819" w:rsidRPr="00727819" w:rsidRDefault="00727819" w:rsidP="00727819">
      <w:pPr>
        <w:numPr>
          <w:ilvl w:val="0"/>
          <w:numId w:val="1"/>
        </w:numPr>
        <w:contextualSpacing/>
        <w:rPr>
          <w:b/>
          <w:bCs/>
          <w:sz w:val="22"/>
          <w:szCs w:val="22"/>
        </w:rPr>
      </w:pPr>
      <w:r w:rsidRPr="00727819">
        <w:rPr>
          <w:b/>
          <w:bCs/>
          <w:sz w:val="22"/>
          <w:szCs w:val="22"/>
        </w:rPr>
        <w:t>Reporting</w:t>
      </w:r>
    </w:p>
    <w:p w:rsidR="00727819" w:rsidRPr="00727819" w:rsidRDefault="00727819" w:rsidP="00727819">
      <w:pPr>
        <w:contextualSpacing/>
        <w:jc w:val="both"/>
        <w:rPr>
          <w:sz w:val="22"/>
          <w:szCs w:val="22"/>
        </w:rPr>
      </w:pPr>
      <w:r w:rsidRPr="00727819">
        <w:rPr>
          <w:sz w:val="22"/>
          <w:szCs w:val="22"/>
        </w:rPr>
        <w:lastRenderedPageBreak/>
        <w:t>Monthly reconciliation of samples submitted/received at the ARC-OVR Reference Laboratory was implemented so that timely corrective actions could be implemented for non-compliances.</w:t>
      </w:r>
    </w:p>
    <w:p w:rsidR="00727819" w:rsidRPr="00727819" w:rsidRDefault="00727819" w:rsidP="00727819">
      <w:pPr>
        <w:contextualSpacing/>
        <w:jc w:val="both"/>
        <w:rPr>
          <w:sz w:val="22"/>
          <w:szCs w:val="22"/>
        </w:rPr>
      </w:pPr>
      <w:r w:rsidRPr="00727819">
        <w:rPr>
          <w:sz w:val="22"/>
          <w:szCs w:val="22"/>
        </w:rPr>
        <w:t>Monthly meetings between the DAFF Residues Control Programme co-ordinator and the ARC-OVR Residue Laboratory Manager have been agreed on and are being honoured.</w:t>
      </w:r>
    </w:p>
    <w:p w:rsidR="00727819" w:rsidRPr="00727819" w:rsidRDefault="00727819" w:rsidP="00727819">
      <w:pPr>
        <w:contextualSpacing/>
        <w:jc w:val="both"/>
        <w:rPr>
          <w:b/>
          <w:bCs/>
          <w:sz w:val="22"/>
          <w:szCs w:val="22"/>
        </w:rPr>
      </w:pPr>
      <w:r w:rsidRPr="00727819">
        <w:rPr>
          <w:sz w:val="22"/>
          <w:szCs w:val="22"/>
        </w:rPr>
        <w:t xml:space="preserve">The DAFF co-ordinator presents the sampling statistics to the provinces at the Veterinary Public Health Advisory Committee Meetings which report to the </w:t>
      </w:r>
      <w:proofErr w:type="spellStart"/>
      <w:r w:rsidRPr="00727819">
        <w:rPr>
          <w:sz w:val="22"/>
          <w:szCs w:val="22"/>
        </w:rPr>
        <w:t>Mintech</w:t>
      </w:r>
      <w:proofErr w:type="spellEnd"/>
      <w:r w:rsidRPr="00727819">
        <w:rPr>
          <w:sz w:val="22"/>
          <w:szCs w:val="22"/>
        </w:rPr>
        <w:t xml:space="preserve"> (Veterinary Working Group).</w:t>
      </w:r>
    </w:p>
    <w:p w:rsidR="00727819" w:rsidRPr="00727819" w:rsidRDefault="00727819" w:rsidP="00727819">
      <w:pPr>
        <w:ind w:left="360"/>
        <w:contextualSpacing/>
        <w:rPr>
          <w:sz w:val="22"/>
          <w:szCs w:val="22"/>
        </w:rPr>
      </w:pPr>
    </w:p>
    <w:p w:rsidR="00727819" w:rsidRPr="00727819" w:rsidRDefault="00727819" w:rsidP="00727819">
      <w:pPr>
        <w:rPr>
          <w:sz w:val="22"/>
          <w:szCs w:val="22"/>
        </w:rPr>
      </w:pPr>
      <w:r w:rsidRPr="00727819">
        <w:rPr>
          <w:sz w:val="22"/>
          <w:szCs w:val="22"/>
        </w:rPr>
        <w:t>(b)    Below is </w:t>
      </w:r>
      <w:r w:rsidRPr="00727819">
        <w:rPr>
          <w:bCs/>
          <w:sz w:val="22"/>
          <w:szCs w:val="22"/>
        </w:rPr>
        <w:t>the budget allocation for the testing of live animals and animal products over the past five years</w:t>
      </w:r>
      <w:r w:rsidRPr="0072781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218"/>
      </w:tblGrid>
      <w:tr w:rsidR="00727819" w:rsidRPr="00727819" w:rsidTr="000230CF">
        <w:tc>
          <w:tcPr>
            <w:tcW w:w="4218" w:type="dxa"/>
            <w:shd w:val="clear" w:color="auto" w:fill="F2F2F2"/>
          </w:tcPr>
          <w:p w:rsidR="00727819" w:rsidRPr="00727819" w:rsidRDefault="00727819" w:rsidP="00727819">
            <w:pPr>
              <w:rPr>
                <w:b/>
                <w:bCs/>
                <w:sz w:val="22"/>
                <w:szCs w:val="22"/>
              </w:rPr>
            </w:pPr>
            <w:r w:rsidRPr="00727819">
              <w:rPr>
                <w:b/>
                <w:bCs/>
                <w:sz w:val="22"/>
                <w:szCs w:val="22"/>
              </w:rPr>
              <w:t>Financial Year</w:t>
            </w:r>
          </w:p>
        </w:tc>
        <w:tc>
          <w:tcPr>
            <w:tcW w:w="4218" w:type="dxa"/>
            <w:shd w:val="clear" w:color="auto" w:fill="F2F2F2"/>
          </w:tcPr>
          <w:p w:rsidR="00727819" w:rsidRPr="00727819" w:rsidRDefault="00727819" w:rsidP="00727819">
            <w:pPr>
              <w:rPr>
                <w:b/>
                <w:bCs/>
                <w:sz w:val="22"/>
                <w:szCs w:val="22"/>
              </w:rPr>
            </w:pPr>
            <w:r w:rsidRPr="00727819">
              <w:rPr>
                <w:b/>
                <w:bCs/>
                <w:sz w:val="22"/>
                <w:szCs w:val="22"/>
              </w:rPr>
              <w:t>Allocation</w:t>
            </w:r>
          </w:p>
        </w:tc>
      </w:tr>
      <w:tr w:rsidR="00727819" w:rsidRPr="00727819" w:rsidTr="000230CF">
        <w:tc>
          <w:tcPr>
            <w:tcW w:w="4218" w:type="dxa"/>
            <w:shd w:val="clear" w:color="auto" w:fill="auto"/>
          </w:tcPr>
          <w:p w:rsidR="00727819" w:rsidRPr="00727819" w:rsidRDefault="00727819" w:rsidP="00727819">
            <w:pPr>
              <w:rPr>
                <w:sz w:val="22"/>
                <w:szCs w:val="22"/>
              </w:rPr>
            </w:pPr>
            <w:r w:rsidRPr="00727819">
              <w:rPr>
                <w:sz w:val="22"/>
                <w:szCs w:val="22"/>
              </w:rPr>
              <w:t>2013/2014</w:t>
            </w:r>
          </w:p>
        </w:tc>
        <w:tc>
          <w:tcPr>
            <w:tcW w:w="4218" w:type="dxa"/>
            <w:shd w:val="clear" w:color="auto" w:fill="auto"/>
          </w:tcPr>
          <w:p w:rsidR="00727819" w:rsidRPr="00727819" w:rsidRDefault="00727819" w:rsidP="00727819">
            <w:pPr>
              <w:rPr>
                <w:sz w:val="22"/>
                <w:szCs w:val="22"/>
              </w:rPr>
            </w:pPr>
            <w:r w:rsidRPr="00727819">
              <w:rPr>
                <w:sz w:val="22"/>
                <w:szCs w:val="22"/>
              </w:rPr>
              <w:t>R9 126 754</w:t>
            </w:r>
          </w:p>
        </w:tc>
      </w:tr>
      <w:tr w:rsidR="00727819" w:rsidRPr="00727819" w:rsidTr="000230CF">
        <w:tc>
          <w:tcPr>
            <w:tcW w:w="4218" w:type="dxa"/>
            <w:shd w:val="clear" w:color="auto" w:fill="auto"/>
          </w:tcPr>
          <w:p w:rsidR="00727819" w:rsidRPr="00727819" w:rsidRDefault="00727819" w:rsidP="00727819">
            <w:pPr>
              <w:rPr>
                <w:sz w:val="22"/>
                <w:szCs w:val="22"/>
              </w:rPr>
            </w:pPr>
            <w:r w:rsidRPr="00727819">
              <w:rPr>
                <w:sz w:val="22"/>
                <w:szCs w:val="22"/>
              </w:rPr>
              <w:t>2014/2015</w:t>
            </w:r>
          </w:p>
        </w:tc>
        <w:tc>
          <w:tcPr>
            <w:tcW w:w="4218" w:type="dxa"/>
            <w:shd w:val="clear" w:color="auto" w:fill="auto"/>
          </w:tcPr>
          <w:p w:rsidR="00727819" w:rsidRPr="00727819" w:rsidRDefault="00727819" w:rsidP="00727819">
            <w:pPr>
              <w:rPr>
                <w:sz w:val="22"/>
                <w:szCs w:val="22"/>
              </w:rPr>
            </w:pPr>
            <w:r w:rsidRPr="00727819">
              <w:rPr>
                <w:sz w:val="22"/>
                <w:szCs w:val="22"/>
              </w:rPr>
              <w:t>R9 674 561</w:t>
            </w:r>
          </w:p>
        </w:tc>
      </w:tr>
      <w:tr w:rsidR="00727819" w:rsidRPr="00727819" w:rsidTr="000230CF">
        <w:tc>
          <w:tcPr>
            <w:tcW w:w="4218" w:type="dxa"/>
            <w:shd w:val="clear" w:color="auto" w:fill="auto"/>
          </w:tcPr>
          <w:p w:rsidR="00727819" w:rsidRPr="00727819" w:rsidRDefault="00727819" w:rsidP="00727819">
            <w:pPr>
              <w:rPr>
                <w:sz w:val="22"/>
                <w:szCs w:val="22"/>
              </w:rPr>
            </w:pPr>
            <w:r w:rsidRPr="00727819">
              <w:rPr>
                <w:sz w:val="22"/>
                <w:szCs w:val="22"/>
              </w:rPr>
              <w:t>2015/2016</w:t>
            </w:r>
          </w:p>
        </w:tc>
        <w:tc>
          <w:tcPr>
            <w:tcW w:w="4218" w:type="dxa"/>
            <w:shd w:val="clear" w:color="auto" w:fill="auto"/>
          </w:tcPr>
          <w:p w:rsidR="00727819" w:rsidRPr="00727819" w:rsidRDefault="00727819" w:rsidP="00727819">
            <w:pPr>
              <w:rPr>
                <w:sz w:val="22"/>
                <w:szCs w:val="22"/>
              </w:rPr>
            </w:pPr>
            <w:r w:rsidRPr="00727819">
              <w:rPr>
                <w:sz w:val="22"/>
                <w:szCs w:val="22"/>
              </w:rPr>
              <w:t>R9 674 561</w:t>
            </w:r>
          </w:p>
        </w:tc>
      </w:tr>
      <w:tr w:rsidR="00727819" w:rsidRPr="00727819" w:rsidTr="000230CF">
        <w:tc>
          <w:tcPr>
            <w:tcW w:w="4218" w:type="dxa"/>
            <w:shd w:val="clear" w:color="auto" w:fill="auto"/>
          </w:tcPr>
          <w:p w:rsidR="00727819" w:rsidRPr="00727819" w:rsidRDefault="00727819" w:rsidP="00727819">
            <w:pPr>
              <w:rPr>
                <w:sz w:val="22"/>
                <w:szCs w:val="22"/>
              </w:rPr>
            </w:pPr>
            <w:r w:rsidRPr="00727819">
              <w:rPr>
                <w:sz w:val="22"/>
                <w:szCs w:val="22"/>
              </w:rPr>
              <w:t>2016/2017</w:t>
            </w:r>
          </w:p>
        </w:tc>
        <w:tc>
          <w:tcPr>
            <w:tcW w:w="4218" w:type="dxa"/>
            <w:shd w:val="clear" w:color="auto" w:fill="auto"/>
          </w:tcPr>
          <w:p w:rsidR="00727819" w:rsidRPr="00727819" w:rsidRDefault="00727819" w:rsidP="00727819">
            <w:pPr>
              <w:rPr>
                <w:sz w:val="22"/>
                <w:szCs w:val="22"/>
              </w:rPr>
            </w:pPr>
            <w:r w:rsidRPr="00727819">
              <w:rPr>
                <w:sz w:val="22"/>
                <w:szCs w:val="22"/>
              </w:rPr>
              <w:t>R10 656 140</w:t>
            </w:r>
          </w:p>
        </w:tc>
      </w:tr>
      <w:tr w:rsidR="00727819" w:rsidRPr="00727819" w:rsidTr="000230CF">
        <w:tc>
          <w:tcPr>
            <w:tcW w:w="4218" w:type="dxa"/>
            <w:shd w:val="clear" w:color="auto" w:fill="auto"/>
          </w:tcPr>
          <w:p w:rsidR="00727819" w:rsidRPr="00727819" w:rsidRDefault="00727819" w:rsidP="00727819">
            <w:pPr>
              <w:rPr>
                <w:sz w:val="22"/>
                <w:szCs w:val="22"/>
              </w:rPr>
            </w:pPr>
            <w:r w:rsidRPr="00727819">
              <w:rPr>
                <w:sz w:val="22"/>
                <w:szCs w:val="22"/>
              </w:rPr>
              <w:t>2017/2018</w:t>
            </w:r>
          </w:p>
        </w:tc>
        <w:tc>
          <w:tcPr>
            <w:tcW w:w="4218" w:type="dxa"/>
            <w:shd w:val="clear" w:color="auto" w:fill="auto"/>
          </w:tcPr>
          <w:p w:rsidR="00727819" w:rsidRPr="00727819" w:rsidRDefault="00727819" w:rsidP="00727819">
            <w:pPr>
              <w:rPr>
                <w:sz w:val="22"/>
                <w:szCs w:val="22"/>
              </w:rPr>
            </w:pPr>
            <w:r w:rsidRPr="00727819">
              <w:rPr>
                <w:sz w:val="22"/>
                <w:szCs w:val="22"/>
              </w:rPr>
              <w:t>R11 295 508</w:t>
            </w:r>
          </w:p>
        </w:tc>
      </w:tr>
    </w:tbl>
    <w:p w:rsidR="00727819" w:rsidRPr="00727819" w:rsidRDefault="00727819" w:rsidP="00727819">
      <w:pPr>
        <w:jc w:val="both"/>
        <w:outlineLvl w:val="0"/>
        <w:rPr>
          <w:bCs/>
          <w:sz w:val="22"/>
          <w:szCs w:val="22"/>
        </w:rPr>
      </w:pPr>
    </w:p>
    <w:p w:rsidR="00727819" w:rsidRPr="00727819" w:rsidRDefault="00727819" w:rsidP="00727819">
      <w:pPr>
        <w:jc w:val="both"/>
        <w:outlineLvl w:val="0"/>
        <w:rPr>
          <w:bCs/>
          <w:sz w:val="22"/>
          <w:szCs w:val="22"/>
        </w:rPr>
      </w:pPr>
    </w:p>
    <w:p w:rsidR="00727819" w:rsidRPr="00727819" w:rsidRDefault="00727819" w:rsidP="00727819">
      <w:pPr>
        <w:jc w:val="both"/>
        <w:outlineLvl w:val="0"/>
        <w:rPr>
          <w:b/>
          <w:bCs/>
          <w:sz w:val="22"/>
          <w:szCs w:val="22"/>
        </w:rPr>
      </w:pPr>
      <w:r w:rsidRPr="00727819">
        <w:rPr>
          <w:b/>
          <w:bCs/>
          <w:sz w:val="22"/>
          <w:szCs w:val="22"/>
        </w:rPr>
        <w:t>(2)        whether his department or the entities reporting to him test for mycotoxins; if so, (a) which products are tested, (b) how often are mycotoxins tested, (c) what national and international standards are used in this regard, (d) which laboratories or institutions in the country are currently tasked with the (</w:t>
      </w:r>
      <w:proofErr w:type="spellStart"/>
      <w:r w:rsidRPr="00727819">
        <w:rPr>
          <w:b/>
          <w:bCs/>
          <w:sz w:val="22"/>
          <w:szCs w:val="22"/>
        </w:rPr>
        <w:t>i</w:t>
      </w:r>
      <w:proofErr w:type="spellEnd"/>
      <w:r w:rsidRPr="00727819">
        <w:rPr>
          <w:b/>
          <w:bCs/>
          <w:sz w:val="22"/>
          <w:szCs w:val="22"/>
        </w:rPr>
        <w:t>) testing of mycotoxins and (ii) implementation of the RMP and (e) what has the budget allocation been to each laboratory over the past five years?          </w:t>
      </w:r>
    </w:p>
    <w:p w:rsidR="00727819" w:rsidRPr="00727819" w:rsidRDefault="00727819" w:rsidP="00727819">
      <w:pPr>
        <w:jc w:val="both"/>
        <w:outlineLvl w:val="0"/>
        <w:rPr>
          <w:bCs/>
          <w:sz w:val="22"/>
          <w:szCs w:val="22"/>
        </w:rPr>
      </w:pPr>
    </w:p>
    <w:p w:rsidR="00727819" w:rsidRPr="00727819" w:rsidRDefault="00727819" w:rsidP="00727819">
      <w:pPr>
        <w:ind w:left="540" w:hanging="540"/>
        <w:jc w:val="both"/>
        <w:outlineLvl w:val="0"/>
        <w:rPr>
          <w:bCs/>
          <w:sz w:val="22"/>
          <w:szCs w:val="22"/>
        </w:rPr>
      </w:pPr>
      <w:r w:rsidRPr="00727819">
        <w:rPr>
          <w:bCs/>
          <w:sz w:val="22"/>
          <w:szCs w:val="22"/>
        </w:rPr>
        <w:t>2(a)   </w:t>
      </w:r>
      <w:proofErr w:type="gramStart"/>
      <w:r w:rsidRPr="00727819">
        <w:rPr>
          <w:bCs/>
          <w:sz w:val="22"/>
          <w:szCs w:val="22"/>
        </w:rPr>
        <w:t>The</w:t>
      </w:r>
      <w:proofErr w:type="gramEnd"/>
      <w:r w:rsidRPr="00727819">
        <w:rPr>
          <w:bCs/>
          <w:sz w:val="22"/>
          <w:szCs w:val="22"/>
        </w:rPr>
        <w:t xml:space="preserve"> department conducts testing on Crocodile, Ostrich, Game, Poultry, Beef, Pork, Mutton/Lamb for mycotoxins </w:t>
      </w:r>
    </w:p>
    <w:p w:rsidR="00727819" w:rsidRPr="00727819" w:rsidRDefault="00727819" w:rsidP="00727819">
      <w:pPr>
        <w:jc w:val="both"/>
        <w:outlineLvl w:val="0"/>
        <w:rPr>
          <w:bCs/>
          <w:sz w:val="22"/>
          <w:szCs w:val="22"/>
        </w:rPr>
      </w:pPr>
      <w:r w:rsidRPr="00727819">
        <w:rPr>
          <w:bCs/>
          <w:sz w:val="22"/>
          <w:szCs w:val="22"/>
        </w:rPr>
        <w:t xml:space="preserve">2(b)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90"/>
      </w:tblGrid>
      <w:tr w:rsidR="00727819" w:rsidRPr="00727819" w:rsidTr="000230CF">
        <w:tc>
          <w:tcPr>
            <w:tcW w:w="2250" w:type="dxa"/>
            <w:shd w:val="clear" w:color="auto" w:fill="F2F2F2"/>
          </w:tcPr>
          <w:p w:rsidR="00727819" w:rsidRPr="00727819" w:rsidRDefault="00727819" w:rsidP="00727819">
            <w:pPr>
              <w:jc w:val="both"/>
              <w:outlineLvl w:val="0"/>
              <w:rPr>
                <w:b/>
                <w:bCs/>
                <w:sz w:val="22"/>
                <w:szCs w:val="22"/>
              </w:rPr>
            </w:pPr>
            <w:r w:rsidRPr="00727819">
              <w:rPr>
                <w:b/>
                <w:bCs/>
                <w:sz w:val="22"/>
                <w:szCs w:val="22"/>
              </w:rPr>
              <w:t>Commodity</w:t>
            </w:r>
          </w:p>
        </w:tc>
        <w:tc>
          <w:tcPr>
            <w:tcW w:w="2790" w:type="dxa"/>
            <w:shd w:val="clear" w:color="auto" w:fill="F2F2F2"/>
          </w:tcPr>
          <w:p w:rsidR="00727819" w:rsidRPr="00727819" w:rsidRDefault="00727819" w:rsidP="00727819">
            <w:pPr>
              <w:jc w:val="both"/>
              <w:outlineLvl w:val="0"/>
              <w:rPr>
                <w:b/>
                <w:bCs/>
                <w:sz w:val="22"/>
                <w:szCs w:val="22"/>
              </w:rPr>
            </w:pPr>
            <w:r w:rsidRPr="00727819">
              <w:rPr>
                <w:b/>
                <w:bCs/>
                <w:sz w:val="22"/>
                <w:szCs w:val="22"/>
              </w:rPr>
              <w:t>Percentage of annual meat production sampled</w:t>
            </w:r>
          </w:p>
        </w:tc>
      </w:tr>
      <w:tr w:rsidR="00727819" w:rsidRPr="00727819" w:rsidTr="000230CF">
        <w:tc>
          <w:tcPr>
            <w:tcW w:w="2250" w:type="dxa"/>
            <w:shd w:val="clear" w:color="auto" w:fill="auto"/>
          </w:tcPr>
          <w:p w:rsidR="00727819" w:rsidRPr="00727819" w:rsidRDefault="00727819" w:rsidP="00727819">
            <w:pPr>
              <w:jc w:val="both"/>
              <w:outlineLvl w:val="0"/>
              <w:rPr>
                <w:bCs/>
                <w:sz w:val="22"/>
                <w:szCs w:val="22"/>
              </w:rPr>
            </w:pPr>
            <w:r w:rsidRPr="00727819">
              <w:rPr>
                <w:bCs/>
                <w:sz w:val="22"/>
                <w:szCs w:val="22"/>
              </w:rPr>
              <w:lastRenderedPageBreak/>
              <w:t>Beef</w:t>
            </w:r>
          </w:p>
        </w:tc>
        <w:tc>
          <w:tcPr>
            <w:tcW w:w="2790" w:type="dxa"/>
            <w:shd w:val="clear" w:color="auto" w:fill="auto"/>
          </w:tcPr>
          <w:p w:rsidR="00727819" w:rsidRPr="00727819" w:rsidRDefault="00727819" w:rsidP="00727819">
            <w:pPr>
              <w:jc w:val="both"/>
              <w:outlineLvl w:val="0"/>
              <w:rPr>
                <w:bCs/>
                <w:sz w:val="22"/>
                <w:szCs w:val="22"/>
              </w:rPr>
            </w:pPr>
            <w:r w:rsidRPr="00727819">
              <w:rPr>
                <w:bCs/>
                <w:sz w:val="22"/>
                <w:szCs w:val="22"/>
              </w:rPr>
              <w:t>1%</w:t>
            </w:r>
          </w:p>
        </w:tc>
      </w:tr>
      <w:tr w:rsidR="00727819" w:rsidRPr="00727819" w:rsidTr="000230CF">
        <w:tc>
          <w:tcPr>
            <w:tcW w:w="2250" w:type="dxa"/>
            <w:shd w:val="clear" w:color="auto" w:fill="auto"/>
          </w:tcPr>
          <w:p w:rsidR="00727819" w:rsidRPr="00727819" w:rsidRDefault="00727819" w:rsidP="00727819">
            <w:pPr>
              <w:jc w:val="both"/>
              <w:outlineLvl w:val="0"/>
              <w:rPr>
                <w:bCs/>
                <w:sz w:val="22"/>
                <w:szCs w:val="22"/>
              </w:rPr>
            </w:pPr>
            <w:r w:rsidRPr="00727819">
              <w:rPr>
                <w:bCs/>
                <w:sz w:val="22"/>
                <w:szCs w:val="22"/>
              </w:rPr>
              <w:t>Mutton/lamb</w:t>
            </w:r>
          </w:p>
        </w:tc>
        <w:tc>
          <w:tcPr>
            <w:tcW w:w="2790" w:type="dxa"/>
            <w:shd w:val="clear" w:color="auto" w:fill="auto"/>
          </w:tcPr>
          <w:p w:rsidR="00727819" w:rsidRPr="00727819" w:rsidRDefault="00727819" w:rsidP="00727819">
            <w:pPr>
              <w:jc w:val="both"/>
              <w:outlineLvl w:val="0"/>
              <w:rPr>
                <w:bCs/>
                <w:sz w:val="22"/>
                <w:szCs w:val="22"/>
              </w:rPr>
            </w:pPr>
            <w:r w:rsidRPr="00727819">
              <w:rPr>
                <w:bCs/>
                <w:sz w:val="22"/>
                <w:szCs w:val="22"/>
              </w:rPr>
              <w:t>1%</w:t>
            </w:r>
          </w:p>
        </w:tc>
      </w:tr>
      <w:tr w:rsidR="00727819" w:rsidRPr="00727819" w:rsidTr="000230CF">
        <w:tc>
          <w:tcPr>
            <w:tcW w:w="2250" w:type="dxa"/>
            <w:shd w:val="clear" w:color="auto" w:fill="auto"/>
          </w:tcPr>
          <w:p w:rsidR="00727819" w:rsidRPr="00727819" w:rsidRDefault="00727819" w:rsidP="00727819">
            <w:pPr>
              <w:jc w:val="both"/>
              <w:outlineLvl w:val="0"/>
              <w:rPr>
                <w:bCs/>
                <w:sz w:val="22"/>
                <w:szCs w:val="22"/>
              </w:rPr>
            </w:pPr>
            <w:r w:rsidRPr="00727819">
              <w:rPr>
                <w:bCs/>
                <w:sz w:val="22"/>
                <w:szCs w:val="22"/>
              </w:rPr>
              <w:t>Pork</w:t>
            </w:r>
          </w:p>
        </w:tc>
        <w:tc>
          <w:tcPr>
            <w:tcW w:w="2790" w:type="dxa"/>
            <w:shd w:val="clear" w:color="auto" w:fill="auto"/>
          </w:tcPr>
          <w:p w:rsidR="00727819" w:rsidRPr="00727819" w:rsidRDefault="00727819" w:rsidP="00727819">
            <w:pPr>
              <w:jc w:val="both"/>
              <w:outlineLvl w:val="0"/>
              <w:rPr>
                <w:bCs/>
                <w:sz w:val="22"/>
                <w:szCs w:val="22"/>
              </w:rPr>
            </w:pPr>
            <w:r w:rsidRPr="00727819">
              <w:rPr>
                <w:bCs/>
                <w:sz w:val="22"/>
                <w:szCs w:val="22"/>
              </w:rPr>
              <w:t>1%</w:t>
            </w:r>
          </w:p>
        </w:tc>
      </w:tr>
      <w:tr w:rsidR="00727819" w:rsidRPr="00727819" w:rsidTr="000230CF">
        <w:tc>
          <w:tcPr>
            <w:tcW w:w="2250" w:type="dxa"/>
            <w:shd w:val="clear" w:color="auto" w:fill="auto"/>
          </w:tcPr>
          <w:p w:rsidR="00727819" w:rsidRPr="00727819" w:rsidRDefault="00727819" w:rsidP="00727819">
            <w:pPr>
              <w:jc w:val="both"/>
              <w:outlineLvl w:val="0"/>
              <w:rPr>
                <w:bCs/>
                <w:sz w:val="22"/>
                <w:szCs w:val="22"/>
              </w:rPr>
            </w:pPr>
            <w:r w:rsidRPr="00727819">
              <w:rPr>
                <w:bCs/>
                <w:sz w:val="22"/>
                <w:szCs w:val="22"/>
              </w:rPr>
              <w:t>Poultry</w:t>
            </w:r>
          </w:p>
        </w:tc>
        <w:tc>
          <w:tcPr>
            <w:tcW w:w="2790" w:type="dxa"/>
            <w:shd w:val="clear" w:color="auto" w:fill="auto"/>
          </w:tcPr>
          <w:p w:rsidR="00727819" w:rsidRPr="00727819" w:rsidRDefault="00727819" w:rsidP="00727819">
            <w:pPr>
              <w:jc w:val="both"/>
              <w:outlineLvl w:val="0"/>
              <w:rPr>
                <w:bCs/>
                <w:sz w:val="22"/>
                <w:szCs w:val="22"/>
              </w:rPr>
            </w:pPr>
            <w:r w:rsidRPr="00727819">
              <w:rPr>
                <w:bCs/>
                <w:sz w:val="22"/>
                <w:szCs w:val="22"/>
              </w:rPr>
              <w:t>1%</w:t>
            </w:r>
          </w:p>
        </w:tc>
      </w:tr>
      <w:tr w:rsidR="00727819" w:rsidRPr="00727819" w:rsidTr="000230CF">
        <w:tc>
          <w:tcPr>
            <w:tcW w:w="2250" w:type="dxa"/>
            <w:shd w:val="clear" w:color="auto" w:fill="auto"/>
          </w:tcPr>
          <w:p w:rsidR="00727819" w:rsidRPr="00727819" w:rsidRDefault="00727819" w:rsidP="00727819">
            <w:pPr>
              <w:jc w:val="both"/>
              <w:outlineLvl w:val="0"/>
              <w:rPr>
                <w:bCs/>
                <w:sz w:val="22"/>
                <w:szCs w:val="22"/>
              </w:rPr>
            </w:pPr>
            <w:r w:rsidRPr="00727819">
              <w:rPr>
                <w:bCs/>
                <w:sz w:val="22"/>
                <w:szCs w:val="22"/>
              </w:rPr>
              <w:t>Crocodile</w:t>
            </w:r>
          </w:p>
        </w:tc>
        <w:tc>
          <w:tcPr>
            <w:tcW w:w="2790" w:type="dxa"/>
            <w:shd w:val="clear" w:color="auto" w:fill="auto"/>
          </w:tcPr>
          <w:p w:rsidR="00727819" w:rsidRPr="00727819" w:rsidRDefault="00727819" w:rsidP="00727819">
            <w:pPr>
              <w:jc w:val="both"/>
              <w:outlineLvl w:val="0"/>
              <w:rPr>
                <w:bCs/>
                <w:sz w:val="22"/>
                <w:szCs w:val="22"/>
              </w:rPr>
            </w:pPr>
            <w:r w:rsidRPr="00727819">
              <w:rPr>
                <w:bCs/>
                <w:sz w:val="22"/>
                <w:szCs w:val="22"/>
              </w:rPr>
              <w:t>5%</w:t>
            </w:r>
          </w:p>
        </w:tc>
      </w:tr>
      <w:tr w:rsidR="00727819" w:rsidRPr="00727819" w:rsidTr="000230CF">
        <w:tc>
          <w:tcPr>
            <w:tcW w:w="2250" w:type="dxa"/>
            <w:shd w:val="clear" w:color="auto" w:fill="auto"/>
          </w:tcPr>
          <w:p w:rsidR="00727819" w:rsidRPr="00727819" w:rsidRDefault="00727819" w:rsidP="00727819">
            <w:pPr>
              <w:jc w:val="both"/>
              <w:outlineLvl w:val="0"/>
              <w:rPr>
                <w:bCs/>
                <w:sz w:val="22"/>
                <w:szCs w:val="22"/>
              </w:rPr>
            </w:pPr>
            <w:r w:rsidRPr="00727819">
              <w:rPr>
                <w:bCs/>
                <w:sz w:val="22"/>
                <w:szCs w:val="22"/>
              </w:rPr>
              <w:t>Game</w:t>
            </w:r>
          </w:p>
        </w:tc>
        <w:tc>
          <w:tcPr>
            <w:tcW w:w="2790" w:type="dxa"/>
            <w:shd w:val="clear" w:color="auto" w:fill="auto"/>
          </w:tcPr>
          <w:p w:rsidR="00727819" w:rsidRPr="00727819" w:rsidRDefault="00727819" w:rsidP="00727819">
            <w:pPr>
              <w:jc w:val="both"/>
              <w:outlineLvl w:val="0"/>
              <w:rPr>
                <w:bCs/>
                <w:sz w:val="22"/>
                <w:szCs w:val="22"/>
              </w:rPr>
            </w:pPr>
            <w:r w:rsidRPr="00727819">
              <w:rPr>
                <w:bCs/>
                <w:sz w:val="22"/>
                <w:szCs w:val="22"/>
              </w:rPr>
              <w:t>5%</w:t>
            </w:r>
          </w:p>
        </w:tc>
      </w:tr>
      <w:tr w:rsidR="00727819" w:rsidRPr="00727819" w:rsidTr="000230CF">
        <w:tc>
          <w:tcPr>
            <w:tcW w:w="2250" w:type="dxa"/>
            <w:shd w:val="clear" w:color="auto" w:fill="auto"/>
          </w:tcPr>
          <w:p w:rsidR="00727819" w:rsidRPr="00727819" w:rsidRDefault="00727819" w:rsidP="00727819">
            <w:pPr>
              <w:jc w:val="both"/>
              <w:outlineLvl w:val="0"/>
              <w:rPr>
                <w:bCs/>
                <w:sz w:val="22"/>
                <w:szCs w:val="22"/>
              </w:rPr>
            </w:pPr>
            <w:r w:rsidRPr="00727819">
              <w:rPr>
                <w:bCs/>
                <w:sz w:val="22"/>
                <w:szCs w:val="22"/>
              </w:rPr>
              <w:t>Ostrich</w:t>
            </w:r>
          </w:p>
        </w:tc>
        <w:tc>
          <w:tcPr>
            <w:tcW w:w="2790" w:type="dxa"/>
            <w:shd w:val="clear" w:color="auto" w:fill="auto"/>
          </w:tcPr>
          <w:p w:rsidR="00727819" w:rsidRPr="00727819" w:rsidRDefault="00727819" w:rsidP="00727819">
            <w:pPr>
              <w:jc w:val="both"/>
              <w:outlineLvl w:val="0"/>
              <w:rPr>
                <w:bCs/>
                <w:sz w:val="22"/>
                <w:szCs w:val="22"/>
              </w:rPr>
            </w:pPr>
            <w:r w:rsidRPr="00727819">
              <w:rPr>
                <w:bCs/>
                <w:sz w:val="22"/>
                <w:szCs w:val="22"/>
              </w:rPr>
              <w:t>5%</w:t>
            </w:r>
          </w:p>
        </w:tc>
      </w:tr>
    </w:tbl>
    <w:p w:rsidR="00727819" w:rsidRPr="00727819" w:rsidRDefault="00727819" w:rsidP="00727819">
      <w:pPr>
        <w:jc w:val="both"/>
        <w:outlineLvl w:val="0"/>
        <w:rPr>
          <w:bCs/>
          <w:sz w:val="22"/>
          <w:szCs w:val="22"/>
        </w:rPr>
      </w:pPr>
    </w:p>
    <w:p w:rsidR="00727819" w:rsidRPr="00727819" w:rsidRDefault="00727819" w:rsidP="00727819">
      <w:pPr>
        <w:ind w:left="540" w:hanging="540"/>
        <w:jc w:val="both"/>
        <w:outlineLvl w:val="0"/>
        <w:rPr>
          <w:bCs/>
          <w:sz w:val="22"/>
          <w:szCs w:val="22"/>
        </w:rPr>
      </w:pPr>
      <w:r w:rsidRPr="00727819">
        <w:rPr>
          <w:bCs/>
          <w:sz w:val="22"/>
          <w:szCs w:val="22"/>
        </w:rPr>
        <w:t>(c) </w:t>
      </w:r>
      <w:r w:rsidRPr="00727819">
        <w:rPr>
          <w:bCs/>
          <w:sz w:val="22"/>
          <w:szCs w:val="22"/>
        </w:rPr>
        <w:t>Sampling frequency in line with EU legislation Commission Decision 97/747/EC and Council Directive 96/23/EC.</w:t>
      </w:r>
    </w:p>
    <w:p w:rsidR="00727819" w:rsidRPr="00727819" w:rsidRDefault="00727819" w:rsidP="00727819">
      <w:pPr>
        <w:ind w:left="540"/>
        <w:jc w:val="both"/>
        <w:outlineLvl w:val="0"/>
        <w:rPr>
          <w:bCs/>
          <w:sz w:val="22"/>
          <w:szCs w:val="22"/>
        </w:rPr>
      </w:pPr>
      <w:r w:rsidRPr="00727819">
        <w:rPr>
          <w:bCs/>
          <w:sz w:val="22"/>
          <w:szCs w:val="22"/>
        </w:rPr>
        <w:t xml:space="preserve">Testing methods are High Performance Liquid Chromatography (HPLC) and Liquid Chromatography Mass </w:t>
      </w:r>
      <w:proofErr w:type="spellStart"/>
      <w:r w:rsidRPr="00727819">
        <w:rPr>
          <w:bCs/>
          <w:sz w:val="22"/>
          <w:szCs w:val="22"/>
        </w:rPr>
        <w:t>Spectophotometry</w:t>
      </w:r>
      <w:proofErr w:type="spellEnd"/>
      <w:r w:rsidRPr="00727819">
        <w:rPr>
          <w:bCs/>
          <w:sz w:val="22"/>
          <w:szCs w:val="22"/>
        </w:rPr>
        <w:t xml:space="preserve"> (LC-MS/MS) accredited by SANAS under ISO 17025.</w:t>
      </w:r>
    </w:p>
    <w:p w:rsidR="00727819" w:rsidRPr="00727819" w:rsidRDefault="00727819" w:rsidP="00727819">
      <w:pPr>
        <w:ind w:left="540" w:hanging="540"/>
        <w:jc w:val="both"/>
        <w:outlineLvl w:val="0"/>
        <w:rPr>
          <w:bCs/>
          <w:sz w:val="22"/>
          <w:szCs w:val="22"/>
        </w:rPr>
      </w:pPr>
      <w:r w:rsidRPr="00727819">
        <w:rPr>
          <w:bCs/>
          <w:sz w:val="22"/>
          <w:szCs w:val="22"/>
        </w:rPr>
        <w:t>(d) (</w:t>
      </w:r>
      <w:proofErr w:type="spellStart"/>
      <w:proofErr w:type="gramStart"/>
      <w:r w:rsidRPr="00727819">
        <w:rPr>
          <w:bCs/>
          <w:sz w:val="22"/>
          <w:szCs w:val="22"/>
        </w:rPr>
        <w:t>i</w:t>
      </w:r>
      <w:proofErr w:type="spellEnd"/>
      <w:proofErr w:type="gramEnd"/>
      <w:r w:rsidRPr="00727819">
        <w:rPr>
          <w:bCs/>
          <w:sz w:val="22"/>
          <w:szCs w:val="22"/>
        </w:rPr>
        <w:t>)  </w:t>
      </w:r>
      <w:r w:rsidRPr="00727819">
        <w:rPr>
          <w:bCs/>
          <w:sz w:val="22"/>
          <w:szCs w:val="22"/>
        </w:rPr>
        <w:t xml:space="preserve">Agricultural Research Council- </w:t>
      </w:r>
      <w:proofErr w:type="spellStart"/>
      <w:r w:rsidRPr="00727819">
        <w:rPr>
          <w:bCs/>
          <w:sz w:val="22"/>
          <w:szCs w:val="22"/>
        </w:rPr>
        <w:t>Onderstepoort</w:t>
      </w:r>
      <w:proofErr w:type="spellEnd"/>
      <w:r w:rsidRPr="00727819">
        <w:rPr>
          <w:bCs/>
          <w:sz w:val="22"/>
          <w:szCs w:val="22"/>
        </w:rPr>
        <w:t xml:space="preserve"> Veterinary Research Residue Laboratory</w:t>
      </w:r>
    </w:p>
    <w:p w:rsidR="00727819" w:rsidRPr="00727819" w:rsidRDefault="00727819" w:rsidP="00727819">
      <w:pPr>
        <w:ind w:left="540" w:hanging="540"/>
        <w:jc w:val="both"/>
        <w:outlineLvl w:val="0"/>
        <w:rPr>
          <w:bCs/>
          <w:sz w:val="22"/>
          <w:szCs w:val="22"/>
        </w:rPr>
      </w:pPr>
      <w:r w:rsidRPr="00727819">
        <w:rPr>
          <w:bCs/>
          <w:sz w:val="22"/>
          <w:szCs w:val="22"/>
        </w:rPr>
        <w:t>(d) (</w:t>
      </w:r>
      <w:proofErr w:type="gramStart"/>
      <w:r w:rsidRPr="00727819">
        <w:rPr>
          <w:bCs/>
          <w:sz w:val="22"/>
          <w:szCs w:val="22"/>
        </w:rPr>
        <w:t>ii</w:t>
      </w:r>
      <w:proofErr w:type="gramEnd"/>
      <w:r w:rsidRPr="00727819">
        <w:rPr>
          <w:bCs/>
          <w:sz w:val="22"/>
          <w:szCs w:val="22"/>
        </w:rPr>
        <w:t xml:space="preserve">)  </w:t>
      </w:r>
      <w:r w:rsidRPr="00727819">
        <w:rPr>
          <w:bCs/>
          <w:sz w:val="22"/>
          <w:szCs w:val="22"/>
        </w:rPr>
        <w:t xml:space="preserve">Agricultural Research Council- </w:t>
      </w:r>
      <w:proofErr w:type="spellStart"/>
      <w:r w:rsidRPr="00727819">
        <w:rPr>
          <w:bCs/>
          <w:sz w:val="22"/>
          <w:szCs w:val="22"/>
        </w:rPr>
        <w:t>Onderstepoort</w:t>
      </w:r>
      <w:proofErr w:type="spellEnd"/>
      <w:r w:rsidRPr="00727819">
        <w:rPr>
          <w:bCs/>
          <w:sz w:val="22"/>
          <w:szCs w:val="22"/>
        </w:rPr>
        <w:t xml:space="preserve"> Veterinary Research Residue Laboratory is the National Reference Laboratory for the National Residue Programmes under the Memorandum of Understanding between DAFF and ARC.</w:t>
      </w:r>
    </w:p>
    <w:p w:rsidR="00727819" w:rsidRPr="00727819" w:rsidRDefault="00727819" w:rsidP="00727819">
      <w:pPr>
        <w:jc w:val="both"/>
        <w:outlineLvl w:val="0"/>
        <w:rPr>
          <w:bCs/>
          <w:sz w:val="22"/>
          <w:szCs w:val="22"/>
        </w:rPr>
      </w:pPr>
      <w:r w:rsidRPr="00727819">
        <w:rPr>
          <w:bCs/>
          <w:sz w:val="22"/>
          <w:szCs w:val="22"/>
        </w:rPr>
        <w:t>(e) </w:t>
      </w:r>
      <w:r w:rsidRPr="00727819">
        <w:rPr>
          <w:bCs/>
          <w:sz w:val="22"/>
          <w:szCs w:val="22"/>
        </w:rPr>
        <w:t xml:space="preserve"> </w:t>
      </w:r>
      <w:r w:rsidRPr="00727819">
        <w:rPr>
          <w:bCs/>
          <w:sz w:val="22"/>
          <w:szCs w:val="22"/>
        </w:rPr>
        <w:t xml:space="preserve">Budget allocation as indicated above under 1(b). </w:t>
      </w:r>
    </w:p>
    <w:p w:rsidR="00727819" w:rsidRPr="00727819" w:rsidRDefault="00727819" w:rsidP="00727819">
      <w:pPr>
        <w:jc w:val="both"/>
        <w:outlineLvl w:val="0"/>
        <w:rPr>
          <w:bCs/>
          <w:sz w:val="22"/>
          <w:szCs w:val="22"/>
        </w:rPr>
      </w:pPr>
    </w:p>
    <w:p w:rsidR="005F561C" w:rsidRPr="00727819" w:rsidRDefault="00727819" w:rsidP="00727819">
      <w:pPr>
        <w:spacing w:before="100" w:beforeAutospacing="1" w:after="100" w:afterAutospacing="1" w:line="240" w:lineRule="auto"/>
        <w:jc w:val="both"/>
        <w:rPr>
          <w:sz w:val="22"/>
          <w:szCs w:val="22"/>
        </w:rPr>
      </w:pPr>
      <w:bookmarkStart w:id="0" w:name="_GoBack"/>
      <w:bookmarkEnd w:id="0"/>
    </w:p>
    <w:sectPr w:rsidR="005F561C" w:rsidRPr="00727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3761"/>
    <w:multiLevelType w:val="hybridMultilevel"/>
    <w:tmpl w:val="E1DEBA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9BF7147"/>
    <w:multiLevelType w:val="hybridMultilevel"/>
    <w:tmpl w:val="F57ADE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3E"/>
    <w:rsid w:val="00186AC3"/>
    <w:rsid w:val="00405B27"/>
    <w:rsid w:val="004E79D0"/>
    <w:rsid w:val="00727819"/>
    <w:rsid w:val="008A171F"/>
    <w:rsid w:val="008C443E"/>
    <w:rsid w:val="00C75133"/>
    <w:rsid w:val="00D96FB6"/>
    <w:rsid w:val="00DD6449"/>
    <w:rsid w:val="00EB0A04"/>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3E"/>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3E"/>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2018-03-22T13:02:00Z</dcterms:created>
  <dcterms:modified xsi:type="dcterms:W3CDTF">2018-03-22T13:02:00Z</dcterms:modified>
</cp:coreProperties>
</file>