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1286A">
        <w:rPr>
          <w:rFonts w:ascii="Times New Roman" w:hAnsi="Times New Roman" w:cs="Times New Roman"/>
          <w:b/>
          <w:sz w:val="24"/>
          <w:szCs w:val="24"/>
        </w:rPr>
        <w:t xml:space="preserve"> 499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1286A" w:rsidRPr="00B1286A" w:rsidRDefault="00B1286A" w:rsidP="00B1286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86A">
        <w:rPr>
          <w:rFonts w:ascii="Times New Roman" w:eastAsia="Calibri" w:hAnsi="Times New Roman" w:cs="Times New Roman"/>
          <w:b/>
          <w:sz w:val="24"/>
          <w:szCs w:val="24"/>
        </w:rPr>
        <w:t>499.</w:t>
      </w:r>
      <w:r w:rsidRPr="00B1286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S V </w:t>
      </w:r>
      <w:proofErr w:type="spellStart"/>
      <w:r w:rsidRPr="00B1286A">
        <w:rPr>
          <w:rFonts w:ascii="Times New Roman" w:eastAsia="Calibri" w:hAnsi="Times New Roman" w:cs="Times New Roman"/>
          <w:b/>
          <w:sz w:val="24"/>
          <w:szCs w:val="24"/>
        </w:rPr>
        <w:t>Kalyan</w:t>
      </w:r>
      <w:proofErr w:type="spellEnd"/>
      <w:r w:rsidRPr="00B1286A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B1286A" w:rsidRPr="00B1286A" w:rsidRDefault="00B1286A" w:rsidP="00B1286A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86A">
        <w:rPr>
          <w:rFonts w:ascii="Times New Roman" w:eastAsia="Calibri" w:hAnsi="Times New Roman" w:cs="Times New Roman"/>
          <w:sz w:val="24"/>
          <w:szCs w:val="24"/>
        </w:rPr>
        <w:t xml:space="preserve">(a) How many official international trips did the Chief Executive Officer (CEO) of </w:t>
      </w:r>
      <w:proofErr w:type="spellStart"/>
      <w:r w:rsidRPr="00B1286A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B1286A">
        <w:rPr>
          <w:rFonts w:ascii="Times New Roman" w:eastAsia="Calibri" w:hAnsi="Times New Roman" w:cs="Times New Roman"/>
          <w:sz w:val="24"/>
          <w:szCs w:val="24"/>
        </w:rPr>
        <w:t xml:space="preserve"> undertake (</w:t>
      </w:r>
      <w:proofErr w:type="spellStart"/>
      <w:r w:rsidRPr="00B1286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1286A">
        <w:rPr>
          <w:rFonts w:ascii="Times New Roman" w:eastAsia="Calibri" w:hAnsi="Times New Roman" w:cs="Times New Roman"/>
          <w:sz w:val="24"/>
          <w:szCs w:val="24"/>
        </w:rPr>
        <w:t>) in each of the past seven financial years and (ii) since 1 April 2016 to date and (b) what was the (</w:t>
      </w:r>
      <w:proofErr w:type="spellStart"/>
      <w:r w:rsidRPr="00B1286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1286A">
        <w:rPr>
          <w:rFonts w:ascii="Times New Roman" w:eastAsia="Calibri" w:hAnsi="Times New Roman" w:cs="Times New Roman"/>
          <w:sz w:val="24"/>
          <w:szCs w:val="24"/>
        </w:rPr>
        <w:t>) destination, (ii) purpose, (iii) cost of flights, (iv) cost of accommodation, (v) names of hotels in which the CEO stayed at and (vi) subsistence costs in each case?</w:t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4"/>
          <w:szCs w:val="24"/>
        </w:rPr>
        <w:tab/>
      </w:r>
      <w:r w:rsidRPr="00B1286A">
        <w:rPr>
          <w:rFonts w:ascii="Times New Roman" w:eastAsia="Calibri" w:hAnsi="Times New Roman" w:cs="Times New Roman"/>
          <w:sz w:val="20"/>
          <w:szCs w:val="20"/>
        </w:rPr>
        <w:t>NW556E</w:t>
      </w:r>
    </w:p>
    <w:p w:rsidR="00355427" w:rsidRPr="007F5FF0" w:rsidRDefault="00355427" w:rsidP="00355427">
      <w:pPr>
        <w:spacing w:before="100" w:beforeAutospacing="1" w:after="100" w:afterAutospacing="1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7F5FF0">
        <w:rPr>
          <w:rFonts w:ascii="Century Gothic" w:eastAsia="Calibri" w:hAnsi="Century Gothic" w:cs="Times New Roman"/>
          <w:b/>
          <w:sz w:val="24"/>
          <w:szCs w:val="24"/>
        </w:rPr>
        <w:t xml:space="preserve">RESPONSE: </w:t>
      </w:r>
    </w:p>
    <w:p w:rsidR="00355427" w:rsidRDefault="00355427" w:rsidP="00355427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International trips include</w:t>
      </w:r>
      <w:r w:rsidRPr="00933CE6">
        <w:rPr>
          <w:rFonts w:ascii="Century Gothic" w:hAnsi="Century Gothic" w:cs="Times New Roman"/>
          <w:sz w:val="24"/>
          <w:szCs w:val="24"/>
        </w:rPr>
        <w:t xml:space="preserve"> any travel outside of South African borders.</w:t>
      </w:r>
      <w:r>
        <w:rPr>
          <w:rFonts w:ascii="Century Gothic" w:hAnsi="Century Gothic" w:cs="Times New Roman"/>
          <w:sz w:val="24"/>
          <w:szCs w:val="24"/>
        </w:rPr>
        <w:t xml:space="preserve"> The international trips undertaken by the CEO of </w:t>
      </w:r>
      <w:proofErr w:type="spellStart"/>
      <w:r>
        <w:rPr>
          <w:rFonts w:ascii="Century Gothic" w:hAnsi="Century Gothic" w:cs="Times New Roman"/>
          <w:sz w:val="24"/>
          <w:szCs w:val="24"/>
        </w:rPr>
        <w:t>Umalusi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are linked to </w:t>
      </w:r>
      <w:proofErr w:type="spellStart"/>
      <w:r>
        <w:rPr>
          <w:rFonts w:ascii="Century Gothic" w:hAnsi="Century Gothic" w:cs="Times New Roman"/>
          <w:sz w:val="24"/>
          <w:szCs w:val="24"/>
        </w:rPr>
        <w:t>Umalusi’s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membership of the following three organisations:</w:t>
      </w:r>
    </w:p>
    <w:p w:rsidR="00355427" w:rsidRPr="00E571F0" w:rsidRDefault="00355427" w:rsidP="00355427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E571F0">
        <w:rPr>
          <w:rFonts w:ascii="Century Gothic" w:hAnsi="Century Gothic" w:cs="Times New Roman"/>
          <w:sz w:val="24"/>
          <w:szCs w:val="24"/>
        </w:rPr>
        <w:t xml:space="preserve">Southern Africa Association </w:t>
      </w:r>
      <w:r>
        <w:rPr>
          <w:rFonts w:ascii="Century Gothic" w:hAnsi="Century Gothic" w:cs="Times New Roman"/>
          <w:sz w:val="24"/>
          <w:szCs w:val="24"/>
        </w:rPr>
        <w:t>for</w:t>
      </w:r>
      <w:r w:rsidRPr="00E571F0">
        <w:rPr>
          <w:rFonts w:ascii="Century Gothic" w:hAnsi="Century Gothic" w:cs="Times New Roman"/>
          <w:sz w:val="24"/>
          <w:szCs w:val="24"/>
        </w:rPr>
        <w:t xml:space="preserve"> Educational Assessment (SAAEA) – in </w:t>
      </w:r>
      <w:r>
        <w:rPr>
          <w:rFonts w:ascii="Century Gothic" w:hAnsi="Century Gothic" w:cs="Times New Roman"/>
          <w:sz w:val="24"/>
          <w:szCs w:val="24"/>
        </w:rPr>
        <w:t>which the CEO serves as an Executive C</w:t>
      </w:r>
      <w:r w:rsidRPr="00E571F0">
        <w:rPr>
          <w:rFonts w:ascii="Century Gothic" w:hAnsi="Century Gothic" w:cs="Times New Roman"/>
          <w:sz w:val="24"/>
          <w:szCs w:val="24"/>
        </w:rPr>
        <w:t>ommittee member.</w:t>
      </w:r>
    </w:p>
    <w:p w:rsidR="00355427" w:rsidRPr="00E571F0" w:rsidRDefault="00355427" w:rsidP="00355427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E571F0">
        <w:rPr>
          <w:rFonts w:ascii="Century Gothic" w:hAnsi="Century Gothic" w:cs="Times New Roman"/>
          <w:sz w:val="24"/>
          <w:szCs w:val="24"/>
        </w:rPr>
        <w:t xml:space="preserve">Association for Educational Assessment in Africa (AEAA). </w:t>
      </w:r>
    </w:p>
    <w:p w:rsidR="00355427" w:rsidRPr="00E571F0" w:rsidRDefault="00355427" w:rsidP="00355427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E571F0">
        <w:rPr>
          <w:rFonts w:ascii="Century Gothic" w:hAnsi="Century Gothic" w:cs="Times New Roman"/>
          <w:sz w:val="24"/>
          <w:szCs w:val="24"/>
        </w:rPr>
        <w:t xml:space="preserve">International Association for Educational Assessment (IAEA). </w:t>
      </w:r>
    </w:p>
    <w:p w:rsidR="00355427" w:rsidRPr="00933CE6" w:rsidRDefault="00355427" w:rsidP="00355427">
      <w:pPr>
        <w:jc w:val="both"/>
        <w:rPr>
          <w:rFonts w:ascii="Century Gothic" w:hAnsi="Century Gothic" w:cs="Times New Roman"/>
          <w:sz w:val="24"/>
          <w:szCs w:val="24"/>
        </w:rPr>
      </w:pPr>
      <w:r w:rsidRPr="00933CE6">
        <w:rPr>
          <w:rFonts w:ascii="Century Gothic" w:hAnsi="Century Gothic" w:cs="Times New Roman"/>
          <w:sz w:val="24"/>
          <w:szCs w:val="24"/>
        </w:rPr>
        <w:t xml:space="preserve">The </w:t>
      </w:r>
      <w:proofErr w:type="gramStart"/>
      <w:r w:rsidRPr="00933CE6">
        <w:rPr>
          <w:rFonts w:ascii="Century Gothic" w:hAnsi="Century Gothic" w:cs="Times New Roman"/>
          <w:sz w:val="24"/>
          <w:szCs w:val="24"/>
        </w:rPr>
        <w:t xml:space="preserve">number of international trips by the Chief Executive Officer of </w:t>
      </w:r>
      <w:proofErr w:type="spellStart"/>
      <w:r w:rsidRPr="00933CE6">
        <w:rPr>
          <w:rFonts w:ascii="Century Gothic" w:hAnsi="Century Gothic" w:cs="Times New Roman"/>
          <w:sz w:val="24"/>
          <w:szCs w:val="24"/>
        </w:rPr>
        <w:t>Umalusi</w:t>
      </w:r>
      <w:proofErr w:type="spellEnd"/>
      <w:r w:rsidRPr="00933CE6">
        <w:rPr>
          <w:rFonts w:ascii="Century Gothic" w:hAnsi="Century Gothic" w:cs="Times New Roman"/>
          <w:sz w:val="24"/>
          <w:szCs w:val="24"/>
        </w:rPr>
        <w:t xml:space="preserve"> for the past seven financial years are</w:t>
      </w:r>
      <w:proofErr w:type="gramEnd"/>
      <w:r w:rsidRPr="00933CE6">
        <w:rPr>
          <w:rFonts w:ascii="Century Gothic" w:hAnsi="Century Gothic" w:cs="Times New Roman"/>
          <w:sz w:val="24"/>
          <w:szCs w:val="24"/>
        </w:rPr>
        <w:t xml:space="preserve"> as follows: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931"/>
        <w:gridCol w:w="931"/>
        <w:gridCol w:w="932"/>
        <w:gridCol w:w="931"/>
        <w:gridCol w:w="932"/>
        <w:gridCol w:w="931"/>
        <w:gridCol w:w="932"/>
      </w:tblGrid>
      <w:tr w:rsidR="00355427" w:rsidRPr="00933CE6" w:rsidTr="00044625">
        <w:trPr>
          <w:trHeight w:val="330"/>
        </w:trPr>
        <w:tc>
          <w:tcPr>
            <w:tcW w:w="2547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09/10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11/12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12/13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13/14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14/15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15/16</w:t>
            </w:r>
          </w:p>
        </w:tc>
      </w:tr>
      <w:tr w:rsidR="00355427" w:rsidRPr="00933CE6" w:rsidTr="00044625">
        <w:trPr>
          <w:trHeight w:val="330"/>
        </w:trPr>
        <w:tc>
          <w:tcPr>
            <w:tcW w:w="2547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Number of official international trips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355427" w:rsidRPr="00933CE6" w:rsidRDefault="00355427" w:rsidP="0004462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</w:tr>
    </w:tbl>
    <w:p w:rsidR="00355427" w:rsidRDefault="00355427" w:rsidP="00355427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355427" w:rsidRPr="00933CE6" w:rsidRDefault="00355427" w:rsidP="00355427">
      <w:pPr>
        <w:jc w:val="both"/>
        <w:rPr>
          <w:rFonts w:ascii="Century Gothic" w:hAnsi="Century Gothic" w:cs="Times New Roman"/>
          <w:sz w:val="24"/>
          <w:szCs w:val="24"/>
        </w:rPr>
      </w:pPr>
      <w:r w:rsidRPr="00933CE6">
        <w:rPr>
          <w:rFonts w:ascii="Century Gothic" w:hAnsi="Century Gothic" w:cs="Times New Roman"/>
          <w:sz w:val="24"/>
          <w:szCs w:val="24"/>
        </w:rPr>
        <w:t>For the current financial year (2016/2017), the following international trips were undertaken: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4241"/>
        <w:gridCol w:w="5001"/>
      </w:tblGrid>
      <w:tr w:rsidR="00355427" w:rsidRPr="00933CE6" w:rsidTr="00044625">
        <w:trPr>
          <w:trHeight w:val="330"/>
        </w:trPr>
        <w:tc>
          <w:tcPr>
            <w:tcW w:w="2928" w:type="pct"/>
            <w:noWrap/>
          </w:tcPr>
          <w:p w:rsidR="00355427" w:rsidRPr="00933CE6" w:rsidRDefault="00355427" w:rsidP="0035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16 – 20 May 2016 – SAAEA </w:t>
            </w:r>
          </w:p>
        </w:tc>
        <w:tc>
          <w:tcPr>
            <w:tcW w:w="2072" w:type="pct"/>
            <w:noWrap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>Southern Africa Association for Educational Assessment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) destination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Lusaka, Zambia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(ii) purpose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Attending the SAAEA Conference representing 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Umalusi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(iii) cost of flights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7,563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(iv) cost of accommodation</w:t>
            </w:r>
          </w:p>
        </w:tc>
        <w:tc>
          <w:tcPr>
            <w:tcW w:w="2072" w:type="pct"/>
            <w:noWrap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12 190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(v) names of hotels in which the </w:t>
            </w:r>
            <w:r w:rsidRPr="00933CE6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 xml:space="preserve">CEO stayed at </w:t>
            </w:r>
          </w:p>
        </w:tc>
        <w:tc>
          <w:tcPr>
            <w:tcW w:w="2072" w:type="pct"/>
            <w:noWrap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64B7A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 xml:space="preserve">Taj </w:t>
            </w:r>
            <w:proofErr w:type="spellStart"/>
            <w:r w:rsidRPr="00B64B7A">
              <w:rPr>
                <w:rFonts w:ascii="Century Gothic" w:hAnsi="Century Gothic" w:cs="Times New Roman"/>
                <w:sz w:val="24"/>
                <w:szCs w:val="24"/>
              </w:rPr>
              <w:t>Pamodzi</w:t>
            </w:r>
            <w:proofErr w:type="spellEnd"/>
            <w:r w:rsidRPr="00B64B7A">
              <w:rPr>
                <w:rFonts w:ascii="Century Gothic" w:hAnsi="Century Gothic" w:cs="Times New Roman"/>
                <w:sz w:val="24"/>
                <w:szCs w:val="24"/>
              </w:rPr>
              <w:t xml:space="preserve"> Hotel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(vi) subsistence costs in each case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R4 614</w:t>
            </w:r>
          </w:p>
        </w:tc>
      </w:tr>
    </w:tbl>
    <w:p w:rsidR="00355427" w:rsidRPr="00933CE6" w:rsidRDefault="00355427" w:rsidP="00355427">
      <w:pPr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4281"/>
        <w:gridCol w:w="4961"/>
      </w:tblGrid>
      <w:tr w:rsidR="00355427" w:rsidRPr="00933CE6" w:rsidTr="00044625">
        <w:trPr>
          <w:trHeight w:val="330"/>
        </w:trPr>
        <w:tc>
          <w:tcPr>
            <w:tcW w:w="2928" w:type="pct"/>
            <w:noWrap/>
          </w:tcPr>
          <w:p w:rsidR="00355427" w:rsidRPr="00933CE6" w:rsidRDefault="00355427" w:rsidP="0035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25 – 29 July2016 – AEAA </w:t>
            </w:r>
          </w:p>
        </w:tc>
        <w:tc>
          <w:tcPr>
            <w:tcW w:w="2072" w:type="pct"/>
            <w:noWrap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>Association for Educational Assessment in Africa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) destination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Victoria Falls, Zimbabwe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(ii) purpose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Attending the AEAA Conference representing 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Umalusi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(iii) cost of flights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8,039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(iv) cost of accommodation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R14,218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(v) names of hotels in which the CEO stayed at </w:t>
            </w:r>
          </w:p>
        </w:tc>
        <w:tc>
          <w:tcPr>
            <w:tcW w:w="2072" w:type="pct"/>
            <w:noWrap/>
            <w:hideMark/>
          </w:tcPr>
          <w:p w:rsidR="00355427" w:rsidRPr="00B64B7A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B64B7A">
              <w:rPr>
                <w:rFonts w:ascii="Century Gothic" w:hAnsi="Century Gothic" w:cs="Times New Roman"/>
                <w:sz w:val="24"/>
                <w:szCs w:val="24"/>
              </w:rPr>
              <w:t>Elephant Hills Resort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(vi) subsistence costs in each case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3 066</w:t>
            </w:r>
          </w:p>
        </w:tc>
      </w:tr>
    </w:tbl>
    <w:p w:rsidR="00355427" w:rsidRDefault="00355427" w:rsidP="00355427">
      <w:pPr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872"/>
      </w:tblGrid>
      <w:tr w:rsidR="00355427" w:rsidRPr="00933CE6" w:rsidTr="00044625">
        <w:trPr>
          <w:trHeight w:val="330"/>
        </w:trPr>
        <w:tc>
          <w:tcPr>
            <w:tcW w:w="4144" w:type="dxa"/>
            <w:noWrap/>
          </w:tcPr>
          <w:p w:rsidR="00355427" w:rsidRPr="00933CE6" w:rsidRDefault="00355427" w:rsidP="0035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10 – 23 September 2016 – Benchmark Trip </w:t>
            </w:r>
          </w:p>
        </w:tc>
        <w:tc>
          <w:tcPr>
            <w:tcW w:w="4872" w:type="dxa"/>
            <w:noWrap/>
          </w:tcPr>
          <w:p w:rsidR="00355427" w:rsidRPr="00FF604A" w:rsidRDefault="00355427" w:rsidP="0004462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F604A">
              <w:rPr>
                <w:rFonts w:ascii="Century Gothic" w:hAnsi="Century Gothic" w:cs="Times New Roman"/>
                <w:b/>
                <w:sz w:val="24"/>
                <w:szCs w:val="24"/>
              </w:rPr>
              <w:t>Netherlands and UK.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) destination</w:t>
            </w:r>
          </w:p>
        </w:tc>
        <w:tc>
          <w:tcPr>
            <w:tcW w:w="487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Netherlands and UK.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(ii) purpose</w:t>
            </w:r>
          </w:p>
        </w:tc>
        <w:tc>
          <w:tcPr>
            <w:tcW w:w="4872" w:type="dxa"/>
            <w:noWrap/>
            <w:hideMark/>
          </w:tcPr>
          <w:p w:rsidR="00355427" w:rsidRPr="0090392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03926">
              <w:rPr>
                <w:rFonts w:ascii="Century Gothic" w:hAnsi="Century Gothic" w:cs="Times New Roman"/>
                <w:sz w:val="24"/>
                <w:szCs w:val="24"/>
              </w:rPr>
              <w:t xml:space="preserve">Benchmarking exercise with </w:t>
            </w:r>
            <w:proofErr w:type="spellStart"/>
            <w:r w:rsidRPr="00903926">
              <w:rPr>
                <w:rFonts w:ascii="Century Gothic" w:hAnsi="Century Gothic" w:cs="Times New Roman"/>
                <w:sz w:val="24"/>
                <w:szCs w:val="24"/>
              </w:rPr>
              <w:t>Cito</w:t>
            </w:r>
            <w:proofErr w:type="spellEnd"/>
            <w:r w:rsidRPr="00903926">
              <w:rPr>
                <w:rFonts w:ascii="Century Gothic" w:hAnsi="Century Gothic" w:cs="Times New Roman"/>
                <w:sz w:val="24"/>
                <w:szCs w:val="24"/>
              </w:rPr>
              <w:t>, Netherlands; Office of Qualifications and Examinations Regulation (</w:t>
            </w:r>
            <w:proofErr w:type="spellStart"/>
            <w:r w:rsidRPr="00903926">
              <w:rPr>
                <w:rFonts w:ascii="Century Gothic" w:hAnsi="Century Gothic" w:cs="Times New Roman"/>
                <w:sz w:val="24"/>
                <w:szCs w:val="24"/>
              </w:rPr>
              <w:t>Ofqual</w:t>
            </w:r>
            <w:proofErr w:type="spellEnd"/>
            <w:r w:rsidRPr="00903926">
              <w:rPr>
                <w:rFonts w:ascii="Century Gothic" w:hAnsi="Century Gothic" w:cs="Times New Roman"/>
                <w:sz w:val="24"/>
                <w:szCs w:val="24"/>
              </w:rPr>
              <w:t>), England; Office for Standards in Education (Ofsted), England; Cambridge International Examinations (CIE), England &amp; Scottish Qualifications Authority (SQA)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(iii) cost of flights</w:t>
            </w:r>
          </w:p>
        </w:tc>
        <w:tc>
          <w:tcPr>
            <w:tcW w:w="4872" w:type="dxa"/>
            <w:noWrap/>
            <w:hideMark/>
          </w:tcPr>
          <w:p w:rsidR="00355427" w:rsidRPr="0090392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03926">
              <w:rPr>
                <w:rFonts w:ascii="Century Gothic" w:hAnsi="Century Gothic" w:cs="Times New Roman"/>
                <w:sz w:val="24"/>
                <w:szCs w:val="24"/>
              </w:rPr>
              <w:t>R 77,288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(iv) cost of accommodation</w:t>
            </w:r>
          </w:p>
        </w:tc>
        <w:tc>
          <w:tcPr>
            <w:tcW w:w="487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89 810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(v) names of hotels in which the CEO stayed at </w:t>
            </w:r>
          </w:p>
        </w:tc>
        <w:tc>
          <w:tcPr>
            <w:tcW w:w="487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Global Accommodation CC</w:t>
            </w:r>
          </w:p>
        </w:tc>
      </w:tr>
      <w:tr w:rsidR="00355427" w:rsidRPr="00933CE6" w:rsidTr="00044625">
        <w:trPr>
          <w:trHeight w:val="330"/>
        </w:trPr>
        <w:tc>
          <w:tcPr>
            <w:tcW w:w="4144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(vi) subsistence costs in each case</w:t>
            </w:r>
          </w:p>
        </w:tc>
        <w:tc>
          <w:tcPr>
            <w:tcW w:w="4872" w:type="dxa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R30 351</w:t>
            </w:r>
          </w:p>
        </w:tc>
      </w:tr>
    </w:tbl>
    <w:p w:rsidR="00355427" w:rsidRPr="00933CE6" w:rsidRDefault="00355427" w:rsidP="00355427">
      <w:pPr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4264"/>
        <w:gridCol w:w="4978"/>
      </w:tblGrid>
      <w:tr w:rsidR="00355427" w:rsidRPr="00933CE6" w:rsidTr="00044625">
        <w:trPr>
          <w:trHeight w:val="330"/>
        </w:trPr>
        <w:tc>
          <w:tcPr>
            <w:tcW w:w="2928" w:type="pct"/>
            <w:noWrap/>
          </w:tcPr>
          <w:p w:rsidR="00355427" w:rsidRPr="00933CE6" w:rsidRDefault="00355427" w:rsidP="00355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10 – 13 March 2017 – SAAEA EXCO </w:t>
            </w:r>
          </w:p>
        </w:tc>
        <w:tc>
          <w:tcPr>
            <w:tcW w:w="2072" w:type="pct"/>
            <w:noWrap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b/>
                <w:sz w:val="24"/>
                <w:szCs w:val="24"/>
              </w:rPr>
              <w:t>Southern Africa Association for Educational Assessment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proofErr w:type="spellStart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i</w:t>
            </w:r>
            <w:proofErr w:type="spellEnd"/>
            <w:r w:rsidRPr="00933CE6">
              <w:rPr>
                <w:rFonts w:ascii="Century Gothic" w:hAnsi="Century Gothic" w:cs="Times New Roman"/>
                <w:sz w:val="24"/>
                <w:szCs w:val="24"/>
              </w:rPr>
              <w:t>) destination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Uganda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(ii) purpose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Execut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ive Committee meeting of SAAEA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(iii) cost of flights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77,288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(iv) cost of accommodation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Paid by SAAEA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 xml:space="preserve">(v) names of hotels in which the CEO stayed at 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Paid by SAAEA</w:t>
            </w:r>
          </w:p>
        </w:tc>
      </w:tr>
      <w:tr w:rsidR="00355427" w:rsidRPr="00933CE6" w:rsidTr="00044625">
        <w:trPr>
          <w:trHeight w:val="330"/>
        </w:trPr>
        <w:tc>
          <w:tcPr>
            <w:tcW w:w="2928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(vi) subsistence costs in each case</w:t>
            </w:r>
          </w:p>
        </w:tc>
        <w:tc>
          <w:tcPr>
            <w:tcW w:w="2072" w:type="pct"/>
            <w:noWrap/>
            <w:hideMark/>
          </w:tcPr>
          <w:p w:rsidR="00355427" w:rsidRPr="00933CE6" w:rsidRDefault="00355427" w:rsidP="0004462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33CE6">
              <w:rPr>
                <w:rFonts w:ascii="Century Gothic" w:hAnsi="Century Gothic" w:cs="Times New Roman"/>
                <w:sz w:val="24"/>
                <w:szCs w:val="24"/>
              </w:rPr>
              <w:t>R 3 066</w:t>
            </w:r>
          </w:p>
        </w:tc>
      </w:tr>
    </w:tbl>
    <w:p w:rsidR="00355427" w:rsidRDefault="00355427" w:rsidP="00355427">
      <w:pPr>
        <w:rPr>
          <w:rFonts w:ascii="Century Gothic" w:hAnsi="Century Gothic" w:cs="Times New Roman"/>
          <w:sz w:val="24"/>
          <w:szCs w:val="28"/>
        </w:rPr>
      </w:pPr>
      <w:bookmarkStart w:id="0" w:name="_GoBack"/>
      <w:bookmarkEnd w:id="0"/>
    </w:p>
    <w:sectPr w:rsidR="0035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F53"/>
    <w:multiLevelType w:val="hybridMultilevel"/>
    <w:tmpl w:val="AB80F2A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4199D"/>
    <w:multiLevelType w:val="hybridMultilevel"/>
    <w:tmpl w:val="B1A49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C5B5C"/>
    <w:rsid w:val="001F1DAC"/>
    <w:rsid w:val="0020126E"/>
    <w:rsid w:val="00226801"/>
    <w:rsid w:val="0027063B"/>
    <w:rsid w:val="0027573A"/>
    <w:rsid w:val="002C32A6"/>
    <w:rsid w:val="00310F5F"/>
    <w:rsid w:val="00341226"/>
    <w:rsid w:val="00343876"/>
    <w:rsid w:val="00355427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676F7"/>
    <w:rsid w:val="00570560"/>
    <w:rsid w:val="005827AF"/>
    <w:rsid w:val="0059663A"/>
    <w:rsid w:val="005C4AB6"/>
    <w:rsid w:val="005F380C"/>
    <w:rsid w:val="00607436"/>
    <w:rsid w:val="00615A3B"/>
    <w:rsid w:val="00666324"/>
    <w:rsid w:val="00692B11"/>
    <w:rsid w:val="006C1F10"/>
    <w:rsid w:val="006D7B63"/>
    <w:rsid w:val="006F297B"/>
    <w:rsid w:val="00720CC4"/>
    <w:rsid w:val="00773C06"/>
    <w:rsid w:val="007A4190"/>
    <w:rsid w:val="007F25CB"/>
    <w:rsid w:val="00830D56"/>
    <w:rsid w:val="00830FC7"/>
    <w:rsid w:val="00857A1D"/>
    <w:rsid w:val="00892BA8"/>
    <w:rsid w:val="008E742B"/>
    <w:rsid w:val="009434F5"/>
    <w:rsid w:val="009520F4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1286A"/>
    <w:rsid w:val="00B473BE"/>
    <w:rsid w:val="00B52C3C"/>
    <w:rsid w:val="00B6783D"/>
    <w:rsid w:val="00B82955"/>
    <w:rsid w:val="00BF028B"/>
    <w:rsid w:val="00C00DC4"/>
    <w:rsid w:val="00CA2EED"/>
    <w:rsid w:val="00D13D42"/>
    <w:rsid w:val="00D34C31"/>
    <w:rsid w:val="00D448B1"/>
    <w:rsid w:val="00D713FC"/>
    <w:rsid w:val="00D725B8"/>
    <w:rsid w:val="00D9276C"/>
    <w:rsid w:val="00D94B1F"/>
    <w:rsid w:val="00D97E99"/>
    <w:rsid w:val="00E34908"/>
    <w:rsid w:val="00E67F6F"/>
    <w:rsid w:val="00E77D05"/>
    <w:rsid w:val="00EA485B"/>
    <w:rsid w:val="00ED1F1C"/>
    <w:rsid w:val="00F11816"/>
    <w:rsid w:val="00F260E9"/>
    <w:rsid w:val="00F5012D"/>
    <w:rsid w:val="00F574BB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D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11</cp:revision>
  <dcterms:created xsi:type="dcterms:W3CDTF">2017-03-09T19:21:00Z</dcterms:created>
  <dcterms:modified xsi:type="dcterms:W3CDTF">2017-04-05T11:26:00Z</dcterms:modified>
</cp:coreProperties>
</file>