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514ED">
        <w:rPr>
          <w:rFonts w:ascii="Times New Roman" w:hAnsi="Times New Roman" w:cs="Times New Roman"/>
          <w:b/>
          <w:sz w:val="24"/>
          <w:szCs w:val="24"/>
        </w:rPr>
        <w:t xml:space="preserve"> 497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E514ED" w:rsidRPr="00E514ED" w:rsidRDefault="00E514ED" w:rsidP="00E514ED">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E514ED">
        <w:rPr>
          <w:rFonts w:ascii="Times New Roman" w:eastAsia="Calibri" w:hAnsi="Times New Roman" w:cs="Times New Roman"/>
          <w:b/>
          <w:sz w:val="24"/>
          <w:szCs w:val="24"/>
        </w:rPr>
        <w:t>497.</w:t>
      </w:r>
      <w:r w:rsidRPr="00E514ED">
        <w:rPr>
          <w:rFonts w:ascii="Times New Roman" w:eastAsia="Calibri" w:hAnsi="Times New Roman" w:cs="Times New Roman"/>
          <w:b/>
          <w:sz w:val="24"/>
          <w:szCs w:val="24"/>
        </w:rPr>
        <w:tab/>
        <w:t xml:space="preserve">Mr C H </w:t>
      </w:r>
      <w:proofErr w:type="spellStart"/>
      <w:r w:rsidRPr="00E514ED">
        <w:rPr>
          <w:rFonts w:ascii="Times New Roman" w:eastAsia="Calibri" w:hAnsi="Times New Roman" w:cs="Times New Roman"/>
          <w:b/>
          <w:sz w:val="24"/>
          <w:szCs w:val="24"/>
        </w:rPr>
        <w:t>H</w:t>
      </w:r>
      <w:proofErr w:type="spellEnd"/>
      <w:r w:rsidRPr="00E514ED">
        <w:rPr>
          <w:rFonts w:ascii="Times New Roman" w:eastAsia="Calibri" w:hAnsi="Times New Roman" w:cs="Times New Roman"/>
          <w:b/>
          <w:sz w:val="24"/>
          <w:szCs w:val="24"/>
        </w:rPr>
        <w:t xml:space="preserve"> </w:t>
      </w:r>
      <w:proofErr w:type="spellStart"/>
      <w:r w:rsidRPr="00E514ED">
        <w:rPr>
          <w:rFonts w:ascii="Times New Roman" w:eastAsia="Calibri" w:hAnsi="Times New Roman" w:cs="Times New Roman"/>
          <w:b/>
          <w:sz w:val="24"/>
          <w:szCs w:val="24"/>
        </w:rPr>
        <w:t>Hunsinger</w:t>
      </w:r>
      <w:proofErr w:type="spellEnd"/>
      <w:r w:rsidRPr="00E514ED">
        <w:rPr>
          <w:rFonts w:ascii="Times New Roman" w:eastAsia="Calibri" w:hAnsi="Times New Roman" w:cs="Times New Roman"/>
          <w:b/>
          <w:sz w:val="24"/>
          <w:szCs w:val="24"/>
        </w:rPr>
        <w:t xml:space="preserve"> (DA) to ask the Minister of Basic Education: </w:t>
      </w:r>
    </w:p>
    <w:p w:rsidR="00A66456" w:rsidRDefault="00E514ED" w:rsidP="00A66456">
      <w:pPr>
        <w:spacing w:before="100" w:beforeAutospacing="1" w:after="100" w:afterAutospacing="1" w:line="240" w:lineRule="auto"/>
        <w:ind w:left="709" w:firstLine="11"/>
        <w:jc w:val="both"/>
        <w:rPr>
          <w:rFonts w:ascii="Times New Roman" w:eastAsia="Calibri" w:hAnsi="Times New Roman" w:cs="Times New Roman"/>
          <w:sz w:val="20"/>
          <w:szCs w:val="20"/>
        </w:rPr>
      </w:pPr>
      <w:r w:rsidRPr="00E514ED">
        <w:rPr>
          <w:rFonts w:ascii="Times New Roman" w:eastAsia="Calibri" w:hAnsi="Times New Roman" w:cs="Times New Roman"/>
          <w:sz w:val="24"/>
          <w:szCs w:val="24"/>
        </w:rPr>
        <w:t>On which statutory grounds were (a) the subject mark adjustment data and (b) the standardisation meeting of 23 December 2016 at which mark adjustments were decided upon designated as confidential?</w:t>
      </w:r>
      <w:r w:rsidRPr="00E514ED">
        <w:rPr>
          <w:rFonts w:ascii="Times New Roman" w:eastAsia="Calibri" w:hAnsi="Times New Roman" w:cs="Times New Roman"/>
          <w:sz w:val="24"/>
          <w:szCs w:val="24"/>
        </w:rPr>
        <w:tab/>
      </w:r>
      <w:r w:rsidRPr="00E514ED">
        <w:rPr>
          <w:rFonts w:ascii="Times New Roman" w:eastAsia="Calibri" w:hAnsi="Times New Roman" w:cs="Times New Roman"/>
          <w:sz w:val="24"/>
          <w:szCs w:val="24"/>
        </w:rPr>
        <w:tab/>
      </w:r>
      <w:r w:rsidRPr="00E514ED">
        <w:rPr>
          <w:rFonts w:ascii="Times New Roman" w:eastAsia="Calibri" w:hAnsi="Times New Roman" w:cs="Times New Roman"/>
          <w:sz w:val="24"/>
          <w:szCs w:val="24"/>
        </w:rPr>
        <w:tab/>
      </w:r>
      <w:r w:rsidRPr="00E514ED">
        <w:rPr>
          <w:rFonts w:ascii="Times New Roman" w:eastAsia="Calibri" w:hAnsi="Times New Roman" w:cs="Times New Roman"/>
          <w:sz w:val="24"/>
          <w:szCs w:val="24"/>
        </w:rPr>
        <w:tab/>
      </w:r>
      <w:r w:rsidRPr="00E514ED">
        <w:rPr>
          <w:rFonts w:ascii="Times New Roman" w:eastAsia="Calibri" w:hAnsi="Times New Roman" w:cs="Times New Roman"/>
          <w:sz w:val="24"/>
          <w:szCs w:val="24"/>
        </w:rPr>
        <w:tab/>
      </w:r>
      <w:r w:rsidRPr="00E514ED">
        <w:rPr>
          <w:rFonts w:ascii="Times New Roman" w:eastAsia="Calibri" w:hAnsi="Times New Roman" w:cs="Times New Roman"/>
          <w:sz w:val="24"/>
          <w:szCs w:val="24"/>
        </w:rPr>
        <w:tab/>
      </w:r>
      <w:r w:rsidRPr="00E514ED">
        <w:rPr>
          <w:rFonts w:ascii="Times New Roman" w:eastAsia="Calibri" w:hAnsi="Times New Roman" w:cs="Times New Roman"/>
          <w:sz w:val="20"/>
          <w:szCs w:val="20"/>
        </w:rPr>
        <w:t>NW554E</w:t>
      </w:r>
    </w:p>
    <w:p w:rsidR="007437EA" w:rsidRPr="00F841D6" w:rsidRDefault="007437EA" w:rsidP="007437EA">
      <w:pPr>
        <w:spacing w:line="360" w:lineRule="auto"/>
        <w:jc w:val="both"/>
        <w:rPr>
          <w:rFonts w:ascii="Century Gothic" w:hAnsi="Century Gothic"/>
          <w:b/>
          <w:sz w:val="24"/>
          <w:szCs w:val="24"/>
        </w:rPr>
      </w:pPr>
      <w:r w:rsidRPr="00F841D6">
        <w:rPr>
          <w:rFonts w:ascii="Century Gothic" w:hAnsi="Century Gothic"/>
          <w:b/>
          <w:sz w:val="24"/>
          <w:szCs w:val="24"/>
        </w:rPr>
        <w:t xml:space="preserve">RESPONSE: </w:t>
      </w:r>
    </w:p>
    <w:p w:rsidR="007437EA" w:rsidRPr="00B64EE2" w:rsidRDefault="007437EA" w:rsidP="007437EA">
      <w:pPr>
        <w:pStyle w:val="ListParagraph"/>
        <w:numPr>
          <w:ilvl w:val="0"/>
          <w:numId w:val="4"/>
        </w:numPr>
        <w:spacing w:line="360" w:lineRule="auto"/>
        <w:jc w:val="both"/>
        <w:rPr>
          <w:rFonts w:ascii="Century Gothic" w:hAnsi="Century Gothic"/>
          <w:sz w:val="24"/>
          <w:szCs w:val="24"/>
        </w:rPr>
      </w:pPr>
      <w:r w:rsidRPr="00B64EE2">
        <w:rPr>
          <w:rFonts w:ascii="Century Gothic" w:hAnsi="Century Gothic"/>
          <w:sz w:val="24"/>
          <w:szCs w:val="24"/>
        </w:rPr>
        <w:t>Subject mark adjustments and the proceedings of the annual standardisation meetings are classified as confidential because:</w:t>
      </w:r>
    </w:p>
    <w:p w:rsidR="007437EA" w:rsidRPr="00B64EE2" w:rsidRDefault="007437EA" w:rsidP="007437EA">
      <w:pPr>
        <w:spacing w:line="360" w:lineRule="auto"/>
        <w:ind w:left="720"/>
        <w:jc w:val="both"/>
        <w:rPr>
          <w:rFonts w:ascii="Century Gothic" w:hAnsi="Century Gothic"/>
          <w:sz w:val="24"/>
          <w:szCs w:val="24"/>
        </w:rPr>
      </w:pPr>
      <w:r w:rsidRPr="00B64EE2">
        <w:rPr>
          <w:rFonts w:ascii="Century Gothic" w:hAnsi="Century Gothic"/>
          <w:sz w:val="24"/>
          <w:szCs w:val="24"/>
        </w:rPr>
        <w:t xml:space="preserve">The data that </w:t>
      </w:r>
      <w:proofErr w:type="spellStart"/>
      <w:r w:rsidRPr="00B64EE2">
        <w:rPr>
          <w:rFonts w:ascii="Century Gothic" w:hAnsi="Century Gothic"/>
          <w:sz w:val="24"/>
          <w:szCs w:val="24"/>
        </w:rPr>
        <w:t>Umalusi</w:t>
      </w:r>
      <w:proofErr w:type="spellEnd"/>
      <w:r w:rsidRPr="00B64EE2">
        <w:rPr>
          <w:rFonts w:ascii="Century Gothic" w:hAnsi="Century Gothic"/>
          <w:sz w:val="24"/>
          <w:szCs w:val="24"/>
        </w:rPr>
        <w:t xml:space="preserve"> standardises during the standardisation process belongs to the assessment body not to </w:t>
      </w:r>
      <w:proofErr w:type="spellStart"/>
      <w:r w:rsidRPr="00B64EE2">
        <w:rPr>
          <w:rFonts w:ascii="Century Gothic" w:hAnsi="Century Gothic"/>
          <w:sz w:val="24"/>
          <w:szCs w:val="24"/>
        </w:rPr>
        <w:t>Umalusi</w:t>
      </w:r>
      <w:proofErr w:type="spellEnd"/>
      <w:r w:rsidRPr="00B64EE2">
        <w:rPr>
          <w:rFonts w:ascii="Century Gothic" w:hAnsi="Century Gothic"/>
          <w:sz w:val="24"/>
          <w:szCs w:val="24"/>
        </w:rPr>
        <w:t xml:space="preserve">. </w:t>
      </w:r>
      <w:proofErr w:type="spellStart"/>
      <w:r w:rsidRPr="00B64EE2">
        <w:rPr>
          <w:rFonts w:ascii="Century Gothic" w:hAnsi="Century Gothic"/>
          <w:sz w:val="24"/>
          <w:szCs w:val="24"/>
        </w:rPr>
        <w:t>Umalusi</w:t>
      </w:r>
      <w:proofErr w:type="spellEnd"/>
      <w:r w:rsidRPr="00B64EE2">
        <w:rPr>
          <w:rFonts w:ascii="Century Gothic" w:hAnsi="Century Gothic"/>
          <w:sz w:val="24"/>
          <w:szCs w:val="24"/>
        </w:rPr>
        <w:t xml:space="preserve"> needs to adhere to what is stipulated in the General and Further Education and Training Act No. 58 of 2001, Section 18(a) under the heading the </w:t>
      </w:r>
      <w:r w:rsidRPr="00B64EE2">
        <w:rPr>
          <w:rFonts w:ascii="Century Gothic" w:hAnsi="Century Gothic"/>
          <w:b/>
          <w:sz w:val="24"/>
          <w:szCs w:val="24"/>
        </w:rPr>
        <w:t>Functions of provider or assessment body with regard to external assessment</w:t>
      </w:r>
      <w:r w:rsidRPr="00B64EE2">
        <w:rPr>
          <w:rFonts w:ascii="Century Gothic" w:hAnsi="Century Gothic"/>
          <w:sz w:val="24"/>
          <w:szCs w:val="24"/>
        </w:rPr>
        <w:t>, which states that:</w:t>
      </w:r>
    </w:p>
    <w:p w:rsidR="007437EA" w:rsidRPr="00B64EE2" w:rsidRDefault="007437EA" w:rsidP="007437EA">
      <w:pPr>
        <w:autoSpaceDE w:val="0"/>
        <w:autoSpaceDN w:val="0"/>
        <w:adjustRightInd w:val="0"/>
        <w:spacing w:after="0" w:line="360" w:lineRule="auto"/>
        <w:jc w:val="both"/>
        <w:rPr>
          <w:rFonts w:ascii="Century Gothic" w:hAnsi="Century Gothic"/>
          <w:sz w:val="24"/>
          <w:szCs w:val="24"/>
        </w:rPr>
      </w:pPr>
      <w:r w:rsidRPr="00B64EE2">
        <w:rPr>
          <w:rFonts w:ascii="Century Gothic" w:hAnsi="Century Gothic"/>
          <w:sz w:val="24"/>
          <w:szCs w:val="24"/>
        </w:rPr>
        <w:t>“In respect of external assessment and subject policy determined in terms of section 3(4) of the National Policy Act No. 27 of 1996, an assessment body -</w:t>
      </w:r>
    </w:p>
    <w:p w:rsidR="007437EA" w:rsidRPr="00B64EE2" w:rsidRDefault="007437EA" w:rsidP="007437EA">
      <w:pPr>
        <w:pStyle w:val="ListParagraph"/>
        <w:numPr>
          <w:ilvl w:val="0"/>
          <w:numId w:val="3"/>
        </w:numPr>
        <w:autoSpaceDE w:val="0"/>
        <w:autoSpaceDN w:val="0"/>
        <w:adjustRightInd w:val="0"/>
        <w:spacing w:after="0" w:line="360" w:lineRule="auto"/>
        <w:jc w:val="both"/>
        <w:rPr>
          <w:rFonts w:ascii="Century Gothic" w:hAnsi="Century Gothic"/>
          <w:sz w:val="24"/>
          <w:szCs w:val="24"/>
        </w:rPr>
      </w:pPr>
      <w:proofErr w:type="gramStart"/>
      <w:r w:rsidRPr="00B64EE2">
        <w:rPr>
          <w:rFonts w:ascii="Century Gothic" w:hAnsi="Century Gothic"/>
          <w:sz w:val="24"/>
          <w:szCs w:val="24"/>
        </w:rPr>
        <w:t>must</w:t>
      </w:r>
      <w:proofErr w:type="gramEnd"/>
      <w:r w:rsidRPr="00B64EE2">
        <w:rPr>
          <w:rFonts w:ascii="Century Gothic" w:hAnsi="Century Gothic"/>
          <w:sz w:val="24"/>
          <w:szCs w:val="24"/>
        </w:rPr>
        <w:t xml:space="preserve"> take adequate measures to combat irregularities at assessment and marking centres and </w:t>
      </w:r>
      <w:r w:rsidRPr="00B64EE2">
        <w:rPr>
          <w:rFonts w:ascii="Century Gothic" w:hAnsi="Century Gothic"/>
          <w:b/>
          <w:i/>
          <w:sz w:val="24"/>
          <w:szCs w:val="24"/>
        </w:rPr>
        <w:t>must take adequate security measures to ensure the confidentiality and integrity of the assessments.”</w:t>
      </w:r>
    </w:p>
    <w:p w:rsidR="003F2502" w:rsidRDefault="003F2502" w:rsidP="007437EA">
      <w:pPr>
        <w:autoSpaceDE w:val="0"/>
        <w:autoSpaceDN w:val="0"/>
        <w:adjustRightInd w:val="0"/>
        <w:spacing w:after="0" w:line="360" w:lineRule="auto"/>
        <w:jc w:val="both"/>
        <w:rPr>
          <w:rFonts w:ascii="Century Gothic" w:hAnsi="Century Gothic"/>
          <w:sz w:val="24"/>
          <w:szCs w:val="24"/>
        </w:rPr>
      </w:pPr>
    </w:p>
    <w:p w:rsidR="007437EA" w:rsidRPr="00B64EE2" w:rsidRDefault="007437EA" w:rsidP="007437EA">
      <w:pPr>
        <w:autoSpaceDE w:val="0"/>
        <w:autoSpaceDN w:val="0"/>
        <w:adjustRightInd w:val="0"/>
        <w:spacing w:after="0" w:line="360" w:lineRule="auto"/>
        <w:jc w:val="both"/>
        <w:rPr>
          <w:rFonts w:ascii="Century Gothic" w:hAnsi="Century Gothic"/>
          <w:sz w:val="24"/>
          <w:szCs w:val="24"/>
        </w:rPr>
      </w:pPr>
      <w:r w:rsidRPr="00B64EE2">
        <w:rPr>
          <w:rFonts w:ascii="Century Gothic" w:hAnsi="Century Gothic"/>
          <w:sz w:val="24"/>
          <w:szCs w:val="24"/>
        </w:rPr>
        <w:t xml:space="preserve">To fulfil its duties as stated above the DBE Regulations Pertaining to the Conduct, Administration and Management of the National Senior Certificate Examination in chapter 8 under the heading </w:t>
      </w:r>
      <w:r w:rsidRPr="00B64EE2">
        <w:rPr>
          <w:rFonts w:ascii="Century Gothic" w:hAnsi="Century Gothic"/>
          <w:b/>
          <w:sz w:val="24"/>
          <w:szCs w:val="24"/>
        </w:rPr>
        <w:t>Release of the results and confidentiality, Section 42 (5)</w:t>
      </w:r>
      <w:r w:rsidRPr="00B64EE2">
        <w:rPr>
          <w:rFonts w:ascii="Century Gothic" w:hAnsi="Century Gothic"/>
          <w:sz w:val="24"/>
          <w:szCs w:val="24"/>
        </w:rPr>
        <w:t xml:space="preserve"> states that:</w:t>
      </w:r>
    </w:p>
    <w:p w:rsidR="007437EA" w:rsidRPr="00B64EE2" w:rsidRDefault="007437EA" w:rsidP="007437EA">
      <w:pPr>
        <w:autoSpaceDE w:val="0"/>
        <w:autoSpaceDN w:val="0"/>
        <w:adjustRightInd w:val="0"/>
        <w:spacing w:after="0" w:line="360" w:lineRule="auto"/>
        <w:jc w:val="both"/>
        <w:rPr>
          <w:rFonts w:ascii="Century Gothic" w:hAnsi="Century Gothic"/>
          <w:sz w:val="24"/>
          <w:szCs w:val="24"/>
        </w:rPr>
      </w:pPr>
    </w:p>
    <w:p w:rsidR="007437EA" w:rsidRPr="00B64EE2" w:rsidRDefault="007437EA" w:rsidP="007437EA">
      <w:pPr>
        <w:autoSpaceDE w:val="0"/>
        <w:autoSpaceDN w:val="0"/>
        <w:adjustRightInd w:val="0"/>
        <w:spacing w:after="0" w:line="360" w:lineRule="auto"/>
        <w:jc w:val="both"/>
        <w:rPr>
          <w:rFonts w:ascii="Century Gothic" w:hAnsi="Century Gothic"/>
          <w:sz w:val="24"/>
          <w:szCs w:val="24"/>
        </w:rPr>
      </w:pPr>
      <w:r w:rsidRPr="00B64EE2">
        <w:rPr>
          <w:rFonts w:ascii="Century Gothic" w:hAnsi="Century Gothic"/>
          <w:sz w:val="24"/>
          <w:szCs w:val="24"/>
        </w:rPr>
        <w:lastRenderedPageBreak/>
        <w:t>“The examination results data of public schools and those independent schools that wrote the public National Senior Certificate examination will remain the property of the Department of Basic Education and is given solely for informing candidates of their achieved examination results.”</w:t>
      </w:r>
    </w:p>
    <w:p w:rsidR="007437EA" w:rsidRPr="00B64EE2" w:rsidRDefault="007437EA" w:rsidP="007437EA">
      <w:pPr>
        <w:autoSpaceDE w:val="0"/>
        <w:autoSpaceDN w:val="0"/>
        <w:adjustRightInd w:val="0"/>
        <w:spacing w:after="0" w:line="360" w:lineRule="auto"/>
        <w:jc w:val="both"/>
        <w:rPr>
          <w:rFonts w:ascii="Century Gothic" w:hAnsi="Century Gothic"/>
          <w:sz w:val="24"/>
          <w:szCs w:val="24"/>
        </w:rPr>
      </w:pPr>
    </w:p>
    <w:p w:rsidR="007437EA" w:rsidRPr="00B64EE2" w:rsidRDefault="007437EA" w:rsidP="007437EA">
      <w:pPr>
        <w:autoSpaceDE w:val="0"/>
        <w:autoSpaceDN w:val="0"/>
        <w:adjustRightInd w:val="0"/>
        <w:spacing w:after="0" w:line="360" w:lineRule="auto"/>
        <w:jc w:val="both"/>
        <w:rPr>
          <w:rFonts w:ascii="Century Gothic" w:hAnsi="Century Gothic"/>
          <w:sz w:val="24"/>
          <w:szCs w:val="24"/>
        </w:rPr>
      </w:pPr>
      <w:r w:rsidRPr="00B64EE2">
        <w:rPr>
          <w:rFonts w:ascii="Century Gothic" w:hAnsi="Century Gothic"/>
          <w:sz w:val="24"/>
          <w:szCs w:val="24"/>
        </w:rPr>
        <w:t xml:space="preserve">Furthermore, Section 42(6) states that: </w:t>
      </w:r>
    </w:p>
    <w:p w:rsidR="007437EA" w:rsidRPr="00B64EE2" w:rsidRDefault="007437EA" w:rsidP="007437EA">
      <w:pPr>
        <w:autoSpaceDE w:val="0"/>
        <w:autoSpaceDN w:val="0"/>
        <w:adjustRightInd w:val="0"/>
        <w:spacing w:after="0" w:line="360" w:lineRule="auto"/>
        <w:jc w:val="both"/>
        <w:rPr>
          <w:rFonts w:ascii="Century Gothic" w:hAnsi="Century Gothic"/>
          <w:sz w:val="24"/>
          <w:szCs w:val="24"/>
        </w:rPr>
      </w:pPr>
    </w:p>
    <w:p w:rsidR="007437EA" w:rsidRPr="00B64EE2" w:rsidRDefault="007437EA" w:rsidP="007437EA">
      <w:pPr>
        <w:autoSpaceDE w:val="0"/>
        <w:autoSpaceDN w:val="0"/>
        <w:adjustRightInd w:val="0"/>
        <w:spacing w:after="0" w:line="360" w:lineRule="auto"/>
        <w:jc w:val="both"/>
        <w:rPr>
          <w:rFonts w:ascii="Century Gothic" w:hAnsi="Century Gothic"/>
          <w:sz w:val="24"/>
          <w:szCs w:val="24"/>
        </w:rPr>
      </w:pPr>
      <w:r w:rsidRPr="00B64EE2">
        <w:rPr>
          <w:rFonts w:ascii="Century Gothic" w:hAnsi="Century Gothic"/>
          <w:sz w:val="24"/>
          <w:szCs w:val="24"/>
        </w:rPr>
        <w:t>“Researchers, individuals and non-governmental organisations may receive information regarding examination results, subject to the approval of the Director-General Basic Education.</w:t>
      </w:r>
    </w:p>
    <w:p w:rsidR="007437EA" w:rsidRPr="00B64EE2" w:rsidRDefault="007437EA" w:rsidP="007437EA">
      <w:pPr>
        <w:autoSpaceDE w:val="0"/>
        <w:autoSpaceDN w:val="0"/>
        <w:adjustRightInd w:val="0"/>
        <w:spacing w:after="0" w:line="360" w:lineRule="auto"/>
        <w:jc w:val="both"/>
        <w:rPr>
          <w:rFonts w:ascii="Century Gothic" w:hAnsi="Century Gothic"/>
          <w:sz w:val="24"/>
          <w:szCs w:val="24"/>
        </w:rPr>
      </w:pPr>
    </w:p>
    <w:p w:rsidR="007437EA" w:rsidRPr="00B64EE2" w:rsidRDefault="007437EA" w:rsidP="007437EA">
      <w:pPr>
        <w:pStyle w:val="ListParagraph"/>
        <w:numPr>
          <w:ilvl w:val="0"/>
          <w:numId w:val="1"/>
        </w:numPr>
        <w:autoSpaceDE w:val="0"/>
        <w:autoSpaceDN w:val="0"/>
        <w:adjustRightInd w:val="0"/>
        <w:spacing w:after="0" w:line="360" w:lineRule="auto"/>
        <w:jc w:val="both"/>
        <w:rPr>
          <w:rFonts w:ascii="Century Gothic" w:hAnsi="Century Gothic"/>
          <w:sz w:val="24"/>
          <w:szCs w:val="24"/>
        </w:rPr>
      </w:pPr>
      <w:r w:rsidRPr="00B64EE2">
        <w:rPr>
          <w:rFonts w:ascii="Century Gothic" w:hAnsi="Century Gothic"/>
          <w:sz w:val="24"/>
          <w:szCs w:val="24"/>
        </w:rPr>
        <w:t xml:space="preserve">Each recipient of examination result data must comply with the following: </w:t>
      </w:r>
    </w:p>
    <w:p w:rsidR="007437EA" w:rsidRPr="00B64EE2" w:rsidRDefault="007437EA" w:rsidP="007437EA">
      <w:pPr>
        <w:pStyle w:val="ListParagraph"/>
        <w:numPr>
          <w:ilvl w:val="0"/>
          <w:numId w:val="2"/>
        </w:numPr>
        <w:autoSpaceDE w:val="0"/>
        <w:autoSpaceDN w:val="0"/>
        <w:adjustRightInd w:val="0"/>
        <w:spacing w:after="0" w:line="360" w:lineRule="auto"/>
        <w:jc w:val="both"/>
        <w:rPr>
          <w:rFonts w:ascii="Century Gothic" w:hAnsi="Century Gothic"/>
          <w:sz w:val="24"/>
          <w:szCs w:val="24"/>
        </w:rPr>
      </w:pPr>
      <w:r w:rsidRPr="00B64EE2">
        <w:rPr>
          <w:rFonts w:ascii="Century Gothic" w:hAnsi="Century Gothic"/>
          <w:sz w:val="24"/>
          <w:szCs w:val="24"/>
        </w:rPr>
        <w:t>Keeping of confidentiality of all information (written, electronic format and oral) regarding the content thereof,</w:t>
      </w:r>
    </w:p>
    <w:p w:rsidR="007437EA" w:rsidRPr="00B64EE2" w:rsidRDefault="007437EA" w:rsidP="007437EA">
      <w:pPr>
        <w:pStyle w:val="ListParagraph"/>
        <w:numPr>
          <w:ilvl w:val="0"/>
          <w:numId w:val="2"/>
        </w:numPr>
        <w:autoSpaceDE w:val="0"/>
        <w:autoSpaceDN w:val="0"/>
        <w:adjustRightInd w:val="0"/>
        <w:spacing w:after="0" w:line="360" w:lineRule="auto"/>
        <w:jc w:val="both"/>
        <w:rPr>
          <w:rFonts w:ascii="Century Gothic" w:hAnsi="Century Gothic"/>
          <w:sz w:val="24"/>
          <w:szCs w:val="24"/>
        </w:rPr>
      </w:pPr>
      <w:r w:rsidRPr="00B64EE2">
        <w:rPr>
          <w:rFonts w:ascii="Century Gothic" w:hAnsi="Century Gothic"/>
          <w:sz w:val="24"/>
          <w:szCs w:val="24"/>
        </w:rPr>
        <w:t xml:space="preserve">Not disclosing without the Department of Basic Education’s written consent, any information in whole or in part to any person.” </w:t>
      </w:r>
    </w:p>
    <w:p w:rsidR="007437EA" w:rsidRDefault="007437EA" w:rsidP="007437EA">
      <w:pPr>
        <w:autoSpaceDE w:val="0"/>
        <w:autoSpaceDN w:val="0"/>
        <w:adjustRightInd w:val="0"/>
        <w:spacing w:after="0" w:line="360" w:lineRule="auto"/>
        <w:jc w:val="both"/>
        <w:rPr>
          <w:rFonts w:ascii="Century Gothic" w:hAnsi="Century Gothic"/>
          <w:sz w:val="24"/>
          <w:szCs w:val="24"/>
        </w:rPr>
      </w:pPr>
    </w:p>
    <w:p w:rsidR="007437EA" w:rsidRDefault="007437EA" w:rsidP="007437EA">
      <w:pPr>
        <w:autoSpaceDE w:val="0"/>
        <w:autoSpaceDN w:val="0"/>
        <w:adjustRightInd w:val="0"/>
        <w:spacing w:after="0" w:line="360" w:lineRule="auto"/>
        <w:jc w:val="both"/>
        <w:rPr>
          <w:rFonts w:ascii="Century Gothic" w:hAnsi="Century Gothic"/>
          <w:sz w:val="24"/>
          <w:szCs w:val="24"/>
        </w:rPr>
      </w:pPr>
    </w:p>
    <w:p w:rsidR="007437EA" w:rsidRDefault="007437EA" w:rsidP="007437EA">
      <w:pPr>
        <w:autoSpaceDE w:val="0"/>
        <w:autoSpaceDN w:val="0"/>
        <w:adjustRightInd w:val="0"/>
        <w:spacing w:after="0" w:line="360" w:lineRule="auto"/>
        <w:jc w:val="both"/>
        <w:rPr>
          <w:rFonts w:ascii="Century Gothic" w:hAnsi="Century Gothic"/>
          <w:sz w:val="24"/>
          <w:szCs w:val="24"/>
        </w:rPr>
      </w:pPr>
    </w:p>
    <w:p w:rsidR="007437EA" w:rsidRDefault="007437EA" w:rsidP="007437EA">
      <w:pPr>
        <w:autoSpaceDE w:val="0"/>
        <w:autoSpaceDN w:val="0"/>
        <w:adjustRightInd w:val="0"/>
        <w:spacing w:after="0" w:line="360" w:lineRule="auto"/>
        <w:jc w:val="both"/>
        <w:rPr>
          <w:rFonts w:ascii="Century Gothic" w:hAnsi="Century Gothic"/>
          <w:sz w:val="24"/>
          <w:szCs w:val="24"/>
        </w:rPr>
      </w:pPr>
    </w:p>
    <w:p w:rsidR="007437EA" w:rsidRDefault="007437EA" w:rsidP="007437EA">
      <w:pPr>
        <w:autoSpaceDE w:val="0"/>
        <w:autoSpaceDN w:val="0"/>
        <w:adjustRightInd w:val="0"/>
        <w:spacing w:after="0" w:line="360" w:lineRule="auto"/>
        <w:jc w:val="both"/>
        <w:rPr>
          <w:rFonts w:ascii="Century Gothic" w:hAnsi="Century Gothic"/>
          <w:sz w:val="24"/>
          <w:szCs w:val="24"/>
        </w:rPr>
      </w:pPr>
    </w:p>
    <w:p w:rsidR="007437EA" w:rsidRDefault="007437EA" w:rsidP="007437EA">
      <w:pPr>
        <w:autoSpaceDE w:val="0"/>
        <w:autoSpaceDN w:val="0"/>
        <w:adjustRightInd w:val="0"/>
        <w:spacing w:after="0" w:line="360" w:lineRule="auto"/>
        <w:jc w:val="both"/>
        <w:rPr>
          <w:rFonts w:ascii="Century Gothic" w:hAnsi="Century Gothic"/>
          <w:sz w:val="24"/>
          <w:szCs w:val="24"/>
        </w:rPr>
      </w:pPr>
    </w:p>
    <w:p w:rsidR="007437EA" w:rsidRDefault="007437EA" w:rsidP="007437EA">
      <w:pPr>
        <w:autoSpaceDE w:val="0"/>
        <w:autoSpaceDN w:val="0"/>
        <w:adjustRightInd w:val="0"/>
        <w:spacing w:after="0" w:line="360" w:lineRule="auto"/>
        <w:jc w:val="both"/>
        <w:rPr>
          <w:rFonts w:ascii="Century Gothic" w:hAnsi="Century Gothic"/>
          <w:sz w:val="24"/>
          <w:szCs w:val="24"/>
        </w:rPr>
      </w:pPr>
      <w:bookmarkStart w:id="0" w:name="_GoBack"/>
      <w:bookmarkEnd w:id="0"/>
    </w:p>
    <w:sectPr w:rsidR="00743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AEB"/>
    <w:multiLevelType w:val="hybridMultilevel"/>
    <w:tmpl w:val="434E5368"/>
    <w:lvl w:ilvl="0" w:tplc="3DE8649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21DD4AA9"/>
    <w:multiLevelType w:val="hybridMultilevel"/>
    <w:tmpl w:val="410A8FAE"/>
    <w:lvl w:ilvl="0" w:tplc="9A149D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2295D43"/>
    <w:multiLevelType w:val="hybridMultilevel"/>
    <w:tmpl w:val="22CEBEB6"/>
    <w:lvl w:ilvl="0" w:tplc="E800E3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61465CE"/>
    <w:multiLevelType w:val="hybridMultilevel"/>
    <w:tmpl w:val="B27A619A"/>
    <w:lvl w:ilvl="0" w:tplc="FD6A5DC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1C5B5C"/>
    <w:rsid w:val="001F1DAC"/>
    <w:rsid w:val="0020126E"/>
    <w:rsid w:val="00226801"/>
    <w:rsid w:val="0027063B"/>
    <w:rsid w:val="0027573A"/>
    <w:rsid w:val="002C32A6"/>
    <w:rsid w:val="00310F5F"/>
    <w:rsid w:val="00341226"/>
    <w:rsid w:val="00343876"/>
    <w:rsid w:val="0037043F"/>
    <w:rsid w:val="003B39A7"/>
    <w:rsid w:val="003F2502"/>
    <w:rsid w:val="003F26D9"/>
    <w:rsid w:val="00405587"/>
    <w:rsid w:val="00445162"/>
    <w:rsid w:val="00445915"/>
    <w:rsid w:val="004532C0"/>
    <w:rsid w:val="004A2F02"/>
    <w:rsid w:val="004E39FB"/>
    <w:rsid w:val="005676F7"/>
    <w:rsid w:val="00570560"/>
    <w:rsid w:val="005827AF"/>
    <w:rsid w:val="0059663A"/>
    <w:rsid w:val="005C4AB6"/>
    <w:rsid w:val="00607436"/>
    <w:rsid w:val="00615A3B"/>
    <w:rsid w:val="00666324"/>
    <w:rsid w:val="00692B11"/>
    <w:rsid w:val="006C1F10"/>
    <w:rsid w:val="006D7B63"/>
    <w:rsid w:val="006F297B"/>
    <w:rsid w:val="006F6FAE"/>
    <w:rsid w:val="00720CC4"/>
    <w:rsid w:val="007437EA"/>
    <w:rsid w:val="007A4190"/>
    <w:rsid w:val="007F25CB"/>
    <w:rsid w:val="00830D56"/>
    <w:rsid w:val="00830FC7"/>
    <w:rsid w:val="00857A1D"/>
    <w:rsid w:val="00892BA8"/>
    <w:rsid w:val="008E742B"/>
    <w:rsid w:val="009434F5"/>
    <w:rsid w:val="00975403"/>
    <w:rsid w:val="009B6115"/>
    <w:rsid w:val="009C2773"/>
    <w:rsid w:val="009D302C"/>
    <w:rsid w:val="00A20079"/>
    <w:rsid w:val="00A451EB"/>
    <w:rsid w:val="00A603D7"/>
    <w:rsid w:val="00A66456"/>
    <w:rsid w:val="00A666AB"/>
    <w:rsid w:val="00AE1828"/>
    <w:rsid w:val="00B6783D"/>
    <w:rsid w:val="00B82955"/>
    <w:rsid w:val="00BF028B"/>
    <w:rsid w:val="00C00DC4"/>
    <w:rsid w:val="00D13D42"/>
    <w:rsid w:val="00D34C31"/>
    <w:rsid w:val="00D713FC"/>
    <w:rsid w:val="00D9276C"/>
    <w:rsid w:val="00D94B1F"/>
    <w:rsid w:val="00D97E99"/>
    <w:rsid w:val="00E34908"/>
    <w:rsid w:val="00E514ED"/>
    <w:rsid w:val="00E67F6F"/>
    <w:rsid w:val="00E77D05"/>
    <w:rsid w:val="00EA485B"/>
    <w:rsid w:val="00ED1F1C"/>
    <w:rsid w:val="00F11816"/>
    <w:rsid w:val="00F260E9"/>
    <w:rsid w:val="00F5012D"/>
    <w:rsid w:val="00F574BB"/>
    <w:rsid w:val="00FA67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A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A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2017-03-09T19:20:00Z</dcterms:created>
  <dcterms:modified xsi:type="dcterms:W3CDTF">2017-04-05T11:13:00Z</dcterms:modified>
</cp:coreProperties>
</file>