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74F4A">
        <w:rPr>
          <w:b/>
          <w:bCs/>
          <w:sz w:val="24"/>
          <w:u w:val="single"/>
        </w:rPr>
        <w:t>4</w:t>
      </w:r>
      <w:r w:rsidR="000F0FCF">
        <w:rPr>
          <w:b/>
          <w:bCs/>
          <w:sz w:val="24"/>
          <w:u w:val="single"/>
        </w:rPr>
        <w:t>93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7333">
        <w:rPr>
          <w:b/>
          <w:bCs/>
          <w:sz w:val="24"/>
          <w:u w:val="single"/>
        </w:rPr>
        <w:t>20</w:t>
      </w:r>
      <w:r w:rsidR="006F5716">
        <w:rPr>
          <w:b/>
          <w:bCs/>
          <w:sz w:val="24"/>
          <w:u w:val="single"/>
        </w:rPr>
        <w:t xml:space="preserve"> MARCH</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10</w:t>
      </w:r>
      <w:r w:rsidRPr="00294557">
        <w:rPr>
          <w:b/>
          <w:bCs/>
          <w:sz w:val="24"/>
          <w:u w:val="single"/>
        </w:rPr>
        <w:t>)</w:t>
      </w:r>
    </w:p>
    <w:p w:rsidR="000F0FCF" w:rsidRPr="000F0FCF" w:rsidRDefault="000F0FCF" w:rsidP="000F0FCF">
      <w:pPr>
        <w:spacing w:before="100" w:beforeAutospacing="1" w:after="100" w:afterAutospacing="1"/>
        <w:jc w:val="both"/>
        <w:outlineLvl w:val="0"/>
        <w:rPr>
          <w:sz w:val="24"/>
          <w:u w:val="single"/>
        </w:rPr>
      </w:pPr>
      <w:r w:rsidRPr="000F0FCF">
        <w:rPr>
          <w:b/>
          <w:sz w:val="24"/>
          <w:u w:val="single"/>
        </w:rPr>
        <w:t>Mrs E R Wilson (DA) to ask the Minister of Health</w:t>
      </w:r>
      <w:r w:rsidRPr="000F0FCF">
        <w:rPr>
          <w:b/>
          <w:sz w:val="24"/>
          <w:u w:val="single"/>
        </w:rPr>
        <w:fldChar w:fldCharType="begin"/>
      </w:r>
      <w:r w:rsidRPr="000F0FCF">
        <w:rPr>
          <w:u w:val="single"/>
        </w:rPr>
        <w:instrText xml:space="preserve"> XE "</w:instrText>
      </w:r>
      <w:r w:rsidRPr="000F0FCF">
        <w:rPr>
          <w:b/>
          <w:sz w:val="24"/>
          <w:u w:val="single"/>
        </w:rPr>
        <w:instrText>Health</w:instrText>
      </w:r>
      <w:r w:rsidRPr="000F0FCF">
        <w:rPr>
          <w:u w:val="single"/>
        </w:rPr>
        <w:instrText xml:space="preserve">" </w:instrText>
      </w:r>
      <w:r w:rsidRPr="000F0FCF">
        <w:rPr>
          <w:b/>
          <w:sz w:val="24"/>
          <w:u w:val="single"/>
        </w:rPr>
        <w:fldChar w:fldCharType="end"/>
      </w:r>
      <w:r w:rsidRPr="000F0FCF">
        <w:rPr>
          <w:b/>
          <w:sz w:val="24"/>
          <w:u w:val="single"/>
        </w:rPr>
        <w:t>:</w:t>
      </w:r>
    </w:p>
    <w:p w:rsidR="00786C98" w:rsidRPr="000F7333" w:rsidRDefault="000F0FCF" w:rsidP="000F0FCF">
      <w:pPr>
        <w:spacing w:before="100" w:beforeAutospacing="1" w:after="100" w:afterAutospacing="1"/>
        <w:jc w:val="both"/>
        <w:rPr>
          <w:color w:val="000000" w:themeColor="text1"/>
          <w:sz w:val="20"/>
          <w:szCs w:val="20"/>
          <w:lang w:val="en-US"/>
        </w:rPr>
      </w:pPr>
      <w:r w:rsidRPr="000F0FCF">
        <w:rPr>
          <w:sz w:val="24"/>
        </w:rPr>
        <w:t xml:space="preserve">In light of the concerns about the coronavirus outbreak and the porous borders of the Republic, (a) what number of quarantine centres have been established in each province, (b) what kind of infrastructure is being used in the specified centres, (c) has each centre been equipped with the necessary scanners and medical equipment to handle potential cases, (d) what number of staff have been formally trained in each province to deal with potential cases of the coronavirus and (e) what was the cost of the </w:t>
      </w:r>
      <w:r w:rsidR="003646BC">
        <w:rPr>
          <w:sz w:val="24"/>
        </w:rPr>
        <w:t>establishment of each centre?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F7333">
        <w:rPr>
          <w:color w:val="000000"/>
        </w:rPr>
        <w:t>6</w:t>
      </w:r>
      <w:r w:rsidR="003646BC">
        <w:rPr>
          <w:color w:val="000000"/>
        </w:rPr>
        <w:t>75</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B37583" w:rsidRPr="00B37583" w:rsidRDefault="00B37583" w:rsidP="00B37583">
      <w:pPr>
        <w:rPr>
          <w:b/>
          <w:sz w:val="24"/>
          <w:lang w:val="en-US"/>
        </w:rPr>
      </w:pPr>
    </w:p>
    <w:p w:rsidR="00B37583" w:rsidRPr="00B37583" w:rsidRDefault="00B37583" w:rsidP="00B37583">
      <w:pPr>
        <w:pStyle w:val="xxmsolistparagraph"/>
        <w:numPr>
          <w:ilvl w:val="0"/>
          <w:numId w:val="6"/>
        </w:numPr>
        <w:ind w:hanging="720"/>
        <w:jc w:val="both"/>
        <w:rPr>
          <w:rFonts w:ascii="Arial" w:eastAsia="Times New Roman" w:hAnsi="Arial" w:cs="Arial"/>
          <w:sz w:val="24"/>
          <w:szCs w:val="24"/>
        </w:rPr>
      </w:pPr>
      <w:r w:rsidRPr="00B37583">
        <w:rPr>
          <w:rFonts w:ascii="Arial" w:eastAsia="Times New Roman" w:hAnsi="Arial" w:cs="Arial"/>
          <w:sz w:val="24"/>
          <w:szCs w:val="24"/>
        </w:rPr>
        <w:t xml:space="preserve">The first part of the question related to the number of Quarantine facilities that have been activated in the country and shown per province. </w:t>
      </w:r>
    </w:p>
    <w:tbl>
      <w:tblPr>
        <w:tblpPr w:leftFromText="180" w:rightFromText="180" w:vertAnchor="text" w:horzAnchor="margin" w:tblpXSpec="right" w:tblpY="153"/>
        <w:tblW w:w="9370" w:type="dxa"/>
        <w:tblLayout w:type="fixed"/>
        <w:tblLook w:val="0000" w:firstRow="0" w:lastRow="0" w:firstColumn="0" w:lastColumn="0" w:noHBand="0" w:noVBand="0"/>
      </w:tblPr>
      <w:tblGrid>
        <w:gridCol w:w="5842"/>
        <w:gridCol w:w="1134"/>
        <w:gridCol w:w="2394"/>
      </w:tblGrid>
      <w:tr w:rsidR="00B37583" w:rsidRPr="00B37583" w:rsidTr="00B37583">
        <w:trPr>
          <w:trHeight w:val="293"/>
        </w:trPr>
        <w:tc>
          <w:tcPr>
            <w:tcW w:w="5842" w:type="dxa"/>
            <w:tcBorders>
              <w:top w:val="nil"/>
              <w:left w:val="single" w:sz="12" w:space="0" w:color="000000"/>
              <w:bottom w:val="single" w:sz="12" w:space="0" w:color="000000"/>
              <w:right w:val="single" w:sz="12" w:space="0" w:color="000000"/>
            </w:tcBorders>
            <w:shd w:val="clear" w:color="auto" w:fill="E36C0A" w:themeFill="accent6" w:themeFillShade="BF"/>
          </w:tcPr>
          <w:p w:rsidR="00B37583" w:rsidRPr="00B37583" w:rsidRDefault="00B37583" w:rsidP="00B37583">
            <w:pPr>
              <w:autoSpaceDE w:val="0"/>
              <w:autoSpaceDN w:val="0"/>
              <w:adjustRightInd w:val="0"/>
              <w:rPr>
                <w:i/>
                <w:iCs/>
                <w:color w:val="FFFFFF" w:themeColor="background1"/>
                <w:sz w:val="24"/>
              </w:rPr>
            </w:pPr>
            <w:r w:rsidRPr="00B37583">
              <w:rPr>
                <w:i/>
                <w:iCs/>
                <w:color w:val="FFFFFF" w:themeColor="background1"/>
                <w:sz w:val="24"/>
              </w:rPr>
              <w:t>Province</w:t>
            </w:r>
          </w:p>
        </w:tc>
        <w:tc>
          <w:tcPr>
            <w:tcW w:w="1134" w:type="dxa"/>
            <w:tcBorders>
              <w:top w:val="nil"/>
              <w:left w:val="nil"/>
              <w:bottom w:val="single" w:sz="12" w:space="0" w:color="000000"/>
              <w:right w:val="single" w:sz="12" w:space="0" w:color="000000"/>
            </w:tcBorders>
            <w:shd w:val="clear" w:color="auto" w:fill="E36C0A" w:themeFill="accent6" w:themeFillShade="BF"/>
          </w:tcPr>
          <w:p w:rsidR="00B37583" w:rsidRPr="00B37583" w:rsidRDefault="00B37583" w:rsidP="00B37583">
            <w:pPr>
              <w:autoSpaceDE w:val="0"/>
              <w:autoSpaceDN w:val="0"/>
              <w:adjustRightInd w:val="0"/>
              <w:jc w:val="center"/>
              <w:rPr>
                <w:color w:val="FFFFFF" w:themeColor="background1"/>
                <w:sz w:val="24"/>
              </w:rPr>
            </w:pPr>
            <w:r w:rsidRPr="00B37583">
              <w:rPr>
                <w:color w:val="FFFFFF" w:themeColor="background1"/>
                <w:sz w:val="24"/>
              </w:rPr>
              <w:t>NO OF SITES</w:t>
            </w:r>
          </w:p>
        </w:tc>
        <w:tc>
          <w:tcPr>
            <w:tcW w:w="2394" w:type="dxa"/>
            <w:tcBorders>
              <w:top w:val="nil"/>
              <w:left w:val="nil"/>
              <w:bottom w:val="single" w:sz="12" w:space="0" w:color="000000"/>
              <w:right w:val="single" w:sz="12" w:space="0" w:color="000000"/>
            </w:tcBorders>
            <w:shd w:val="clear" w:color="auto" w:fill="E36C0A" w:themeFill="accent6" w:themeFillShade="BF"/>
          </w:tcPr>
          <w:p w:rsidR="00B37583" w:rsidRPr="00B37583" w:rsidRDefault="00B37583" w:rsidP="00B37583">
            <w:pPr>
              <w:autoSpaceDE w:val="0"/>
              <w:autoSpaceDN w:val="0"/>
              <w:adjustRightInd w:val="0"/>
              <w:jc w:val="center"/>
              <w:rPr>
                <w:color w:val="FFFFFF" w:themeColor="background1"/>
                <w:sz w:val="24"/>
              </w:rPr>
            </w:pPr>
            <w:r w:rsidRPr="00B37583">
              <w:rPr>
                <w:color w:val="FFFFFF" w:themeColor="background1"/>
                <w:sz w:val="24"/>
              </w:rPr>
              <w:t>NO OF BEDS</w:t>
            </w:r>
          </w:p>
        </w:tc>
      </w:tr>
      <w:tr w:rsidR="00B37583" w:rsidRPr="00B37583" w:rsidTr="00B37583">
        <w:trPr>
          <w:trHeight w:val="293"/>
        </w:trPr>
        <w:tc>
          <w:tcPr>
            <w:tcW w:w="5842" w:type="dxa"/>
            <w:tcBorders>
              <w:top w:val="nil"/>
              <w:left w:val="single" w:sz="12" w:space="0" w:color="000000"/>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rPr>
                <w:color w:val="000000"/>
                <w:sz w:val="24"/>
              </w:rPr>
            </w:pPr>
            <w:r w:rsidRPr="00B37583">
              <w:rPr>
                <w:color w:val="000000"/>
                <w:sz w:val="24"/>
              </w:rPr>
              <w:t>Eastern Cape</w:t>
            </w:r>
          </w:p>
        </w:tc>
        <w:tc>
          <w:tcPr>
            <w:tcW w:w="113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19</w:t>
            </w:r>
          </w:p>
        </w:tc>
        <w:tc>
          <w:tcPr>
            <w:tcW w:w="239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662</w:t>
            </w:r>
          </w:p>
        </w:tc>
      </w:tr>
      <w:tr w:rsidR="00B37583" w:rsidRPr="00B37583" w:rsidTr="00B37583">
        <w:trPr>
          <w:trHeight w:val="293"/>
        </w:trPr>
        <w:tc>
          <w:tcPr>
            <w:tcW w:w="5842" w:type="dxa"/>
            <w:tcBorders>
              <w:top w:val="nil"/>
              <w:left w:val="single" w:sz="12" w:space="0" w:color="000000"/>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rPr>
                <w:color w:val="000000"/>
                <w:sz w:val="24"/>
              </w:rPr>
            </w:pPr>
            <w:r w:rsidRPr="00B37583">
              <w:rPr>
                <w:color w:val="000000"/>
                <w:sz w:val="24"/>
              </w:rPr>
              <w:t>Free State</w:t>
            </w:r>
          </w:p>
        </w:tc>
        <w:tc>
          <w:tcPr>
            <w:tcW w:w="113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5</w:t>
            </w:r>
          </w:p>
        </w:tc>
        <w:tc>
          <w:tcPr>
            <w:tcW w:w="239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313</w:t>
            </w:r>
          </w:p>
        </w:tc>
      </w:tr>
      <w:tr w:rsidR="00B37583" w:rsidRPr="00B37583" w:rsidTr="00B37583">
        <w:trPr>
          <w:trHeight w:val="293"/>
        </w:trPr>
        <w:tc>
          <w:tcPr>
            <w:tcW w:w="5842" w:type="dxa"/>
            <w:tcBorders>
              <w:top w:val="nil"/>
              <w:left w:val="single" w:sz="12" w:space="0" w:color="000000"/>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rPr>
                <w:color w:val="000000"/>
                <w:sz w:val="24"/>
              </w:rPr>
            </w:pPr>
            <w:r w:rsidRPr="00B37583">
              <w:rPr>
                <w:color w:val="000000"/>
                <w:sz w:val="24"/>
              </w:rPr>
              <w:t>Gauteng</w:t>
            </w:r>
          </w:p>
        </w:tc>
        <w:tc>
          <w:tcPr>
            <w:tcW w:w="113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21</w:t>
            </w:r>
          </w:p>
        </w:tc>
        <w:tc>
          <w:tcPr>
            <w:tcW w:w="239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6236</w:t>
            </w:r>
          </w:p>
        </w:tc>
      </w:tr>
      <w:tr w:rsidR="00B37583" w:rsidRPr="00B37583" w:rsidTr="00B37583">
        <w:trPr>
          <w:trHeight w:val="293"/>
        </w:trPr>
        <w:tc>
          <w:tcPr>
            <w:tcW w:w="5842" w:type="dxa"/>
            <w:tcBorders>
              <w:top w:val="nil"/>
              <w:left w:val="single" w:sz="12" w:space="0" w:color="000000"/>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rPr>
                <w:color w:val="000000"/>
                <w:sz w:val="24"/>
              </w:rPr>
            </w:pPr>
            <w:r w:rsidRPr="00B37583">
              <w:rPr>
                <w:color w:val="000000"/>
                <w:sz w:val="24"/>
              </w:rPr>
              <w:t>KwaZulu Natal</w:t>
            </w:r>
          </w:p>
        </w:tc>
        <w:tc>
          <w:tcPr>
            <w:tcW w:w="113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48</w:t>
            </w:r>
          </w:p>
        </w:tc>
        <w:tc>
          <w:tcPr>
            <w:tcW w:w="239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1098</w:t>
            </w:r>
          </w:p>
        </w:tc>
      </w:tr>
      <w:tr w:rsidR="00B37583" w:rsidRPr="00B37583" w:rsidTr="00B37583">
        <w:trPr>
          <w:trHeight w:val="293"/>
        </w:trPr>
        <w:tc>
          <w:tcPr>
            <w:tcW w:w="5842" w:type="dxa"/>
            <w:tcBorders>
              <w:top w:val="nil"/>
              <w:left w:val="single" w:sz="12" w:space="0" w:color="000000"/>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rPr>
                <w:color w:val="000000"/>
                <w:sz w:val="24"/>
              </w:rPr>
            </w:pPr>
            <w:r w:rsidRPr="00B37583">
              <w:rPr>
                <w:color w:val="000000"/>
                <w:sz w:val="24"/>
              </w:rPr>
              <w:t>Limpopo</w:t>
            </w:r>
          </w:p>
        </w:tc>
        <w:tc>
          <w:tcPr>
            <w:tcW w:w="113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6</w:t>
            </w:r>
          </w:p>
        </w:tc>
        <w:tc>
          <w:tcPr>
            <w:tcW w:w="239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313</w:t>
            </w:r>
          </w:p>
        </w:tc>
      </w:tr>
      <w:tr w:rsidR="00B37583" w:rsidRPr="00B37583" w:rsidTr="00B37583">
        <w:trPr>
          <w:trHeight w:val="293"/>
        </w:trPr>
        <w:tc>
          <w:tcPr>
            <w:tcW w:w="5842" w:type="dxa"/>
            <w:tcBorders>
              <w:top w:val="nil"/>
              <w:left w:val="single" w:sz="12" w:space="0" w:color="000000"/>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rPr>
                <w:color w:val="000000"/>
                <w:sz w:val="24"/>
              </w:rPr>
            </w:pPr>
            <w:r w:rsidRPr="00B37583">
              <w:rPr>
                <w:color w:val="000000"/>
                <w:sz w:val="24"/>
              </w:rPr>
              <w:t>Mpumalanga</w:t>
            </w:r>
          </w:p>
        </w:tc>
        <w:tc>
          <w:tcPr>
            <w:tcW w:w="113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6</w:t>
            </w:r>
          </w:p>
        </w:tc>
        <w:tc>
          <w:tcPr>
            <w:tcW w:w="239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434</w:t>
            </w:r>
          </w:p>
        </w:tc>
      </w:tr>
      <w:tr w:rsidR="00B37583" w:rsidRPr="00B37583" w:rsidTr="00B37583">
        <w:trPr>
          <w:trHeight w:val="293"/>
        </w:trPr>
        <w:tc>
          <w:tcPr>
            <w:tcW w:w="5842" w:type="dxa"/>
            <w:tcBorders>
              <w:top w:val="nil"/>
              <w:left w:val="single" w:sz="12" w:space="0" w:color="000000"/>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rPr>
                <w:color w:val="000000"/>
                <w:sz w:val="24"/>
              </w:rPr>
            </w:pPr>
            <w:r w:rsidRPr="00B37583">
              <w:rPr>
                <w:color w:val="000000"/>
                <w:sz w:val="24"/>
              </w:rPr>
              <w:t>North West</w:t>
            </w:r>
          </w:p>
        </w:tc>
        <w:tc>
          <w:tcPr>
            <w:tcW w:w="113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6</w:t>
            </w:r>
          </w:p>
        </w:tc>
        <w:tc>
          <w:tcPr>
            <w:tcW w:w="239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188</w:t>
            </w:r>
          </w:p>
        </w:tc>
      </w:tr>
      <w:tr w:rsidR="00B37583" w:rsidRPr="00B37583" w:rsidTr="00B37583">
        <w:trPr>
          <w:trHeight w:val="293"/>
        </w:trPr>
        <w:tc>
          <w:tcPr>
            <w:tcW w:w="5842" w:type="dxa"/>
            <w:tcBorders>
              <w:top w:val="nil"/>
              <w:left w:val="single" w:sz="12" w:space="0" w:color="000000"/>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rPr>
                <w:color w:val="000000"/>
                <w:sz w:val="24"/>
              </w:rPr>
            </w:pPr>
            <w:r w:rsidRPr="00B37583">
              <w:rPr>
                <w:color w:val="000000"/>
                <w:sz w:val="24"/>
              </w:rPr>
              <w:t>Northern Cape</w:t>
            </w:r>
          </w:p>
        </w:tc>
        <w:tc>
          <w:tcPr>
            <w:tcW w:w="113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9</w:t>
            </w:r>
          </w:p>
        </w:tc>
        <w:tc>
          <w:tcPr>
            <w:tcW w:w="239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497</w:t>
            </w:r>
          </w:p>
        </w:tc>
      </w:tr>
      <w:tr w:rsidR="00B37583" w:rsidRPr="00B37583" w:rsidTr="00B37583">
        <w:trPr>
          <w:trHeight w:val="293"/>
        </w:trPr>
        <w:tc>
          <w:tcPr>
            <w:tcW w:w="5842" w:type="dxa"/>
            <w:tcBorders>
              <w:top w:val="nil"/>
              <w:left w:val="single" w:sz="12" w:space="0" w:color="000000"/>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rPr>
                <w:color w:val="000000"/>
                <w:sz w:val="24"/>
              </w:rPr>
            </w:pPr>
            <w:r w:rsidRPr="00B37583">
              <w:rPr>
                <w:color w:val="000000"/>
                <w:sz w:val="24"/>
              </w:rPr>
              <w:t>Western Cape</w:t>
            </w:r>
          </w:p>
        </w:tc>
        <w:tc>
          <w:tcPr>
            <w:tcW w:w="113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16</w:t>
            </w:r>
          </w:p>
        </w:tc>
        <w:tc>
          <w:tcPr>
            <w:tcW w:w="2394" w:type="dxa"/>
            <w:tcBorders>
              <w:top w:val="nil"/>
              <w:left w:val="nil"/>
              <w:bottom w:val="single" w:sz="12" w:space="0" w:color="000000"/>
              <w:right w:val="single" w:sz="12" w:space="0" w:color="000000"/>
            </w:tcBorders>
            <w:shd w:val="solid" w:color="FFFFFF" w:fill="auto"/>
          </w:tcPr>
          <w:p w:rsidR="00B37583" w:rsidRPr="00B37583" w:rsidRDefault="00B37583" w:rsidP="00B37583">
            <w:pPr>
              <w:autoSpaceDE w:val="0"/>
              <w:autoSpaceDN w:val="0"/>
              <w:adjustRightInd w:val="0"/>
              <w:jc w:val="center"/>
              <w:rPr>
                <w:color w:val="000000"/>
                <w:sz w:val="24"/>
              </w:rPr>
            </w:pPr>
            <w:r w:rsidRPr="00B37583">
              <w:rPr>
                <w:color w:val="000000"/>
                <w:sz w:val="24"/>
              </w:rPr>
              <w:t>2537</w:t>
            </w:r>
          </w:p>
        </w:tc>
      </w:tr>
      <w:tr w:rsidR="00B37583" w:rsidRPr="00B37583" w:rsidTr="00B37583">
        <w:trPr>
          <w:trHeight w:val="444"/>
        </w:trPr>
        <w:tc>
          <w:tcPr>
            <w:tcW w:w="5842" w:type="dxa"/>
            <w:tcBorders>
              <w:top w:val="nil"/>
              <w:left w:val="single" w:sz="12" w:space="0" w:color="000000"/>
              <w:bottom w:val="single" w:sz="12" w:space="0" w:color="000000"/>
              <w:right w:val="single" w:sz="12" w:space="0" w:color="000000"/>
            </w:tcBorders>
            <w:shd w:val="clear" w:color="auto" w:fill="E36C0A" w:themeFill="accent6" w:themeFillShade="BF"/>
          </w:tcPr>
          <w:p w:rsidR="00B37583" w:rsidRPr="00B37583" w:rsidRDefault="00B37583" w:rsidP="00B37583">
            <w:pPr>
              <w:autoSpaceDE w:val="0"/>
              <w:autoSpaceDN w:val="0"/>
              <w:adjustRightInd w:val="0"/>
              <w:rPr>
                <w:b/>
                <w:bCs/>
                <w:color w:val="FFFFFF" w:themeColor="background1"/>
                <w:sz w:val="24"/>
              </w:rPr>
            </w:pPr>
            <w:r w:rsidRPr="00B37583">
              <w:rPr>
                <w:b/>
                <w:bCs/>
                <w:color w:val="FFFFFF" w:themeColor="background1"/>
                <w:sz w:val="24"/>
              </w:rPr>
              <w:t>Grand Total</w:t>
            </w:r>
          </w:p>
        </w:tc>
        <w:tc>
          <w:tcPr>
            <w:tcW w:w="1134" w:type="dxa"/>
            <w:tcBorders>
              <w:top w:val="nil"/>
              <w:left w:val="nil"/>
              <w:bottom w:val="single" w:sz="12" w:space="0" w:color="000000"/>
              <w:right w:val="single" w:sz="12" w:space="0" w:color="000000"/>
            </w:tcBorders>
            <w:shd w:val="clear" w:color="auto" w:fill="E36C0A" w:themeFill="accent6" w:themeFillShade="BF"/>
          </w:tcPr>
          <w:p w:rsidR="00B37583" w:rsidRPr="00B37583" w:rsidRDefault="00B37583" w:rsidP="00B37583">
            <w:pPr>
              <w:autoSpaceDE w:val="0"/>
              <w:autoSpaceDN w:val="0"/>
              <w:adjustRightInd w:val="0"/>
              <w:jc w:val="center"/>
              <w:rPr>
                <w:b/>
                <w:bCs/>
                <w:color w:val="FFFFFF" w:themeColor="background1"/>
                <w:sz w:val="24"/>
              </w:rPr>
            </w:pPr>
            <w:r w:rsidRPr="00B37583">
              <w:rPr>
                <w:b/>
                <w:bCs/>
                <w:color w:val="FFFFFF" w:themeColor="background1"/>
                <w:sz w:val="24"/>
              </w:rPr>
              <w:t>136</w:t>
            </w:r>
          </w:p>
        </w:tc>
        <w:tc>
          <w:tcPr>
            <w:tcW w:w="2394" w:type="dxa"/>
            <w:tcBorders>
              <w:top w:val="nil"/>
              <w:left w:val="nil"/>
              <w:bottom w:val="single" w:sz="12" w:space="0" w:color="000000"/>
              <w:right w:val="single" w:sz="12" w:space="0" w:color="000000"/>
            </w:tcBorders>
            <w:shd w:val="clear" w:color="auto" w:fill="E36C0A" w:themeFill="accent6" w:themeFillShade="BF"/>
          </w:tcPr>
          <w:p w:rsidR="00B37583" w:rsidRPr="00B37583" w:rsidRDefault="00B37583" w:rsidP="00B37583">
            <w:pPr>
              <w:autoSpaceDE w:val="0"/>
              <w:autoSpaceDN w:val="0"/>
              <w:adjustRightInd w:val="0"/>
              <w:jc w:val="center"/>
              <w:rPr>
                <w:b/>
                <w:bCs/>
                <w:color w:val="FFFFFF" w:themeColor="background1"/>
                <w:sz w:val="24"/>
              </w:rPr>
            </w:pPr>
            <w:r w:rsidRPr="00B37583">
              <w:rPr>
                <w:b/>
                <w:bCs/>
                <w:color w:val="FFFFFF" w:themeColor="background1"/>
                <w:sz w:val="24"/>
              </w:rPr>
              <w:t>12278</w:t>
            </w:r>
          </w:p>
        </w:tc>
      </w:tr>
    </w:tbl>
    <w:p w:rsidR="00B37583" w:rsidRPr="00B37583" w:rsidRDefault="00B37583" w:rsidP="00B37583">
      <w:pPr>
        <w:pStyle w:val="xxmsolistparagraph"/>
        <w:ind w:left="0"/>
        <w:rPr>
          <w:rFonts w:ascii="Arial" w:eastAsia="Times New Roman" w:hAnsi="Arial" w:cs="Arial"/>
          <w:sz w:val="24"/>
          <w:szCs w:val="24"/>
        </w:rPr>
      </w:pPr>
    </w:p>
    <w:p w:rsidR="00B37583" w:rsidRPr="00B37583" w:rsidRDefault="00B37583" w:rsidP="00B37583">
      <w:pPr>
        <w:pStyle w:val="xxmsolistparagraph"/>
        <w:ind w:left="0"/>
        <w:rPr>
          <w:rFonts w:ascii="Arial" w:eastAsia="Times New Roman" w:hAnsi="Arial" w:cs="Arial"/>
          <w:sz w:val="24"/>
          <w:szCs w:val="24"/>
        </w:rPr>
      </w:pPr>
    </w:p>
    <w:p w:rsidR="00B37583" w:rsidRDefault="00B37583" w:rsidP="00B37583">
      <w:pPr>
        <w:pStyle w:val="xxmsolistparagraph"/>
        <w:rPr>
          <w:rFonts w:ascii="Arial" w:eastAsia="Times New Roman" w:hAnsi="Arial" w:cs="Arial"/>
          <w:sz w:val="24"/>
          <w:szCs w:val="24"/>
        </w:rPr>
      </w:pPr>
    </w:p>
    <w:p w:rsidR="00B37583" w:rsidRPr="00B37583" w:rsidRDefault="00B37583" w:rsidP="00B37583">
      <w:pPr>
        <w:pStyle w:val="xxmsolistparagraph"/>
        <w:rPr>
          <w:rFonts w:ascii="Arial" w:eastAsia="Times New Roman" w:hAnsi="Arial" w:cs="Arial"/>
          <w:sz w:val="24"/>
          <w:szCs w:val="24"/>
        </w:rPr>
      </w:pPr>
      <w:r w:rsidRPr="00B37583">
        <w:rPr>
          <w:rFonts w:ascii="Arial" w:eastAsia="Times New Roman" w:hAnsi="Arial" w:cs="Arial"/>
          <w:sz w:val="24"/>
          <w:szCs w:val="24"/>
        </w:rPr>
        <w:t>There are a number of sites on standby but is only activated as and when the Province deem it necessary to accommodate patients and or PUI's.</w:t>
      </w:r>
    </w:p>
    <w:p w:rsidR="00B37583" w:rsidRPr="00B37583" w:rsidRDefault="00B37583" w:rsidP="00B37583">
      <w:pPr>
        <w:pStyle w:val="xxmsolistparagraph"/>
        <w:rPr>
          <w:rFonts w:ascii="Arial" w:eastAsia="Times New Roman" w:hAnsi="Arial" w:cs="Arial"/>
          <w:sz w:val="24"/>
          <w:szCs w:val="24"/>
        </w:rPr>
      </w:pPr>
    </w:p>
    <w:p w:rsidR="00B37583" w:rsidRPr="00B37583" w:rsidRDefault="00B37583" w:rsidP="00B37583">
      <w:pPr>
        <w:pStyle w:val="xxmsolistparagraph"/>
        <w:ind w:left="709" w:hanging="709"/>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Pr="00B37583">
        <w:rPr>
          <w:rFonts w:ascii="Arial" w:eastAsia="Times New Roman" w:hAnsi="Arial" w:cs="Arial"/>
          <w:sz w:val="24"/>
          <w:szCs w:val="24"/>
        </w:rPr>
        <w:t>There is currently 64 privately owned and 72 state owned facilities utilised. The following types of facilities are being utilised:</w:t>
      </w:r>
    </w:p>
    <w:tbl>
      <w:tblPr>
        <w:tblpPr w:leftFromText="180" w:rightFromText="180" w:vertAnchor="text" w:horzAnchor="margin" w:tblpXSpec="right" w:tblpY="-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24"/>
        <w:gridCol w:w="3675"/>
      </w:tblGrid>
      <w:tr w:rsidR="00B37583" w:rsidRPr="00B37583" w:rsidTr="00B37583">
        <w:trPr>
          <w:trHeight w:val="274"/>
        </w:trPr>
        <w:tc>
          <w:tcPr>
            <w:tcW w:w="5524" w:type="dxa"/>
            <w:shd w:val="clear" w:color="auto" w:fill="E36C0A" w:themeFill="accent6" w:themeFillShade="BF"/>
          </w:tcPr>
          <w:p w:rsidR="00B37583" w:rsidRPr="00B37583" w:rsidRDefault="00B37583" w:rsidP="00B37583">
            <w:pPr>
              <w:autoSpaceDE w:val="0"/>
              <w:autoSpaceDN w:val="0"/>
              <w:adjustRightInd w:val="0"/>
              <w:rPr>
                <w:b/>
                <w:bCs/>
                <w:color w:val="FFFFFF" w:themeColor="background1"/>
                <w:sz w:val="24"/>
              </w:rPr>
            </w:pPr>
            <w:r w:rsidRPr="00B37583">
              <w:rPr>
                <w:b/>
                <w:bCs/>
                <w:color w:val="FFFFFF" w:themeColor="background1"/>
                <w:sz w:val="24"/>
              </w:rPr>
              <w:lastRenderedPageBreak/>
              <w:t>Type of facility</w:t>
            </w:r>
          </w:p>
        </w:tc>
        <w:tc>
          <w:tcPr>
            <w:tcW w:w="3675" w:type="dxa"/>
            <w:shd w:val="clear" w:color="auto" w:fill="E36C0A" w:themeFill="accent6" w:themeFillShade="BF"/>
          </w:tcPr>
          <w:p w:rsidR="00B37583" w:rsidRPr="00B37583" w:rsidRDefault="00B37583" w:rsidP="00B37583">
            <w:pPr>
              <w:autoSpaceDE w:val="0"/>
              <w:autoSpaceDN w:val="0"/>
              <w:adjustRightInd w:val="0"/>
              <w:jc w:val="center"/>
              <w:rPr>
                <w:b/>
                <w:bCs/>
                <w:color w:val="FFFFFF" w:themeColor="background1"/>
                <w:sz w:val="24"/>
              </w:rPr>
            </w:pPr>
            <w:r w:rsidRPr="00B37583">
              <w:rPr>
                <w:b/>
                <w:bCs/>
                <w:color w:val="FFFFFF" w:themeColor="background1"/>
                <w:sz w:val="24"/>
              </w:rPr>
              <w:t>Number of Sites in this category</w:t>
            </w:r>
          </w:p>
        </w:tc>
      </w:tr>
      <w:tr w:rsidR="00B37583" w:rsidRPr="00B37583" w:rsidTr="00B37583">
        <w:trPr>
          <w:trHeight w:val="274"/>
        </w:trPr>
        <w:tc>
          <w:tcPr>
            <w:tcW w:w="5524" w:type="dxa"/>
            <w:vAlign w:val="bottom"/>
          </w:tcPr>
          <w:p w:rsidR="00B37583" w:rsidRPr="00B37583" w:rsidRDefault="00B37583" w:rsidP="00B37583">
            <w:pPr>
              <w:autoSpaceDE w:val="0"/>
              <w:autoSpaceDN w:val="0"/>
              <w:adjustRightInd w:val="0"/>
              <w:rPr>
                <w:color w:val="000000"/>
                <w:sz w:val="24"/>
              </w:rPr>
            </w:pPr>
            <w:r w:rsidRPr="00B37583">
              <w:rPr>
                <w:color w:val="000000"/>
                <w:sz w:val="24"/>
              </w:rPr>
              <w:t>B&amp;B</w:t>
            </w:r>
          </w:p>
        </w:tc>
        <w:tc>
          <w:tcPr>
            <w:tcW w:w="3675" w:type="dxa"/>
            <w:vAlign w:val="bottom"/>
          </w:tcPr>
          <w:p w:rsidR="00B37583" w:rsidRPr="00B37583" w:rsidRDefault="00B37583" w:rsidP="00B37583">
            <w:pPr>
              <w:autoSpaceDE w:val="0"/>
              <w:autoSpaceDN w:val="0"/>
              <w:adjustRightInd w:val="0"/>
              <w:jc w:val="center"/>
              <w:rPr>
                <w:color w:val="000000"/>
                <w:sz w:val="24"/>
              </w:rPr>
            </w:pPr>
            <w:r w:rsidRPr="00B37583">
              <w:rPr>
                <w:color w:val="000000"/>
                <w:sz w:val="24"/>
              </w:rPr>
              <w:t>15</w:t>
            </w:r>
          </w:p>
        </w:tc>
      </w:tr>
      <w:tr w:rsidR="00B37583" w:rsidRPr="00B37583" w:rsidTr="00B37583">
        <w:trPr>
          <w:trHeight w:val="274"/>
        </w:trPr>
        <w:tc>
          <w:tcPr>
            <w:tcW w:w="5524" w:type="dxa"/>
            <w:vAlign w:val="bottom"/>
          </w:tcPr>
          <w:p w:rsidR="00B37583" w:rsidRPr="00B37583" w:rsidRDefault="00B37583" w:rsidP="00B37583">
            <w:pPr>
              <w:autoSpaceDE w:val="0"/>
              <w:autoSpaceDN w:val="0"/>
              <w:adjustRightInd w:val="0"/>
              <w:rPr>
                <w:color w:val="000000"/>
                <w:sz w:val="24"/>
              </w:rPr>
            </w:pPr>
            <w:r w:rsidRPr="00B37583">
              <w:rPr>
                <w:color w:val="000000"/>
                <w:sz w:val="24"/>
              </w:rPr>
              <w:t>CARAVAN PARK/CAMP SITE</w:t>
            </w:r>
          </w:p>
        </w:tc>
        <w:tc>
          <w:tcPr>
            <w:tcW w:w="3675" w:type="dxa"/>
            <w:vAlign w:val="bottom"/>
          </w:tcPr>
          <w:p w:rsidR="00B37583" w:rsidRPr="00B37583" w:rsidRDefault="00B37583" w:rsidP="00B37583">
            <w:pPr>
              <w:autoSpaceDE w:val="0"/>
              <w:autoSpaceDN w:val="0"/>
              <w:adjustRightInd w:val="0"/>
              <w:jc w:val="center"/>
              <w:rPr>
                <w:color w:val="000000"/>
                <w:sz w:val="24"/>
              </w:rPr>
            </w:pPr>
            <w:r w:rsidRPr="00B37583">
              <w:rPr>
                <w:color w:val="000000"/>
                <w:sz w:val="24"/>
              </w:rPr>
              <w:t>1</w:t>
            </w:r>
          </w:p>
        </w:tc>
      </w:tr>
      <w:tr w:rsidR="00B37583" w:rsidRPr="00B37583" w:rsidTr="00B37583">
        <w:trPr>
          <w:trHeight w:val="274"/>
        </w:trPr>
        <w:tc>
          <w:tcPr>
            <w:tcW w:w="5524" w:type="dxa"/>
            <w:vAlign w:val="bottom"/>
          </w:tcPr>
          <w:p w:rsidR="00B37583" w:rsidRPr="00B37583" w:rsidRDefault="00B37583" w:rsidP="00B37583">
            <w:pPr>
              <w:autoSpaceDE w:val="0"/>
              <w:autoSpaceDN w:val="0"/>
              <w:adjustRightInd w:val="0"/>
              <w:rPr>
                <w:color w:val="000000"/>
                <w:sz w:val="24"/>
              </w:rPr>
            </w:pPr>
            <w:r w:rsidRPr="00B37583">
              <w:rPr>
                <w:color w:val="000000"/>
                <w:sz w:val="24"/>
              </w:rPr>
              <w:t>HEALTH FACILITY</w:t>
            </w:r>
          </w:p>
        </w:tc>
        <w:tc>
          <w:tcPr>
            <w:tcW w:w="3675" w:type="dxa"/>
            <w:vAlign w:val="bottom"/>
          </w:tcPr>
          <w:p w:rsidR="00B37583" w:rsidRPr="00B37583" w:rsidRDefault="00B37583" w:rsidP="00B37583">
            <w:pPr>
              <w:autoSpaceDE w:val="0"/>
              <w:autoSpaceDN w:val="0"/>
              <w:adjustRightInd w:val="0"/>
              <w:jc w:val="center"/>
              <w:rPr>
                <w:color w:val="000000"/>
                <w:sz w:val="24"/>
              </w:rPr>
            </w:pPr>
            <w:r w:rsidRPr="00B37583">
              <w:rPr>
                <w:color w:val="000000"/>
                <w:sz w:val="24"/>
              </w:rPr>
              <w:t>52</w:t>
            </w:r>
          </w:p>
        </w:tc>
      </w:tr>
      <w:tr w:rsidR="00B37583" w:rsidRPr="00B37583" w:rsidTr="00B37583">
        <w:trPr>
          <w:trHeight w:val="274"/>
        </w:trPr>
        <w:tc>
          <w:tcPr>
            <w:tcW w:w="5524" w:type="dxa"/>
            <w:vAlign w:val="bottom"/>
          </w:tcPr>
          <w:p w:rsidR="00B37583" w:rsidRPr="00B37583" w:rsidRDefault="00B37583" w:rsidP="00B37583">
            <w:pPr>
              <w:autoSpaceDE w:val="0"/>
              <w:autoSpaceDN w:val="0"/>
              <w:adjustRightInd w:val="0"/>
              <w:rPr>
                <w:color w:val="000000"/>
                <w:sz w:val="24"/>
              </w:rPr>
            </w:pPr>
            <w:r w:rsidRPr="00B37583">
              <w:rPr>
                <w:color w:val="000000"/>
                <w:sz w:val="24"/>
              </w:rPr>
              <w:t>HOTEL</w:t>
            </w:r>
          </w:p>
        </w:tc>
        <w:tc>
          <w:tcPr>
            <w:tcW w:w="3675" w:type="dxa"/>
            <w:vAlign w:val="bottom"/>
          </w:tcPr>
          <w:p w:rsidR="00B37583" w:rsidRPr="00B37583" w:rsidRDefault="00B37583" w:rsidP="00B37583">
            <w:pPr>
              <w:autoSpaceDE w:val="0"/>
              <w:autoSpaceDN w:val="0"/>
              <w:adjustRightInd w:val="0"/>
              <w:jc w:val="center"/>
              <w:rPr>
                <w:color w:val="000000"/>
                <w:sz w:val="24"/>
              </w:rPr>
            </w:pPr>
            <w:r w:rsidRPr="00B37583">
              <w:rPr>
                <w:color w:val="000000"/>
                <w:sz w:val="24"/>
              </w:rPr>
              <w:t>38</w:t>
            </w:r>
          </w:p>
        </w:tc>
      </w:tr>
      <w:tr w:rsidR="00B37583" w:rsidRPr="00B37583" w:rsidTr="00B37583">
        <w:trPr>
          <w:trHeight w:val="274"/>
        </w:trPr>
        <w:tc>
          <w:tcPr>
            <w:tcW w:w="5524" w:type="dxa"/>
            <w:vAlign w:val="bottom"/>
          </w:tcPr>
          <w:p w:rsidR="00B37583" w:rsidRPr="00B37583" w:rsidRDefault="00B37583" w:rsidP="00B37583">
            <w:pPr>
              <w:autoSpaceDE w:val="0"/>
              <w:autoSpaceDN w:val="0"/>
              <w:adjustRightInd w:val="0"/>
              <w:rPr>
                <w:color w:val="000000"/>
                <w:sz w:val="24"/>
              </w:rPr>
            </w:pPr>
            <w:r w:rsidRPr="00B37583">
              <w:rPr>
                <w:color w:val="000000"/>
                <w:sz w:val="24"/>
              </w:rPr>
              <w:t>LODGE</w:t>
            </w:r>
          </w:p>
        </w:tc>
        <w:tc>
          <w:tcPr>
            <w:tcW w:w="3675" w:type="dxa"/>
            <w:vAlign w:val="bottom"/>
          </w:tcPr>
          <w:p w:rsidR="00B37583" w:rsidRPr="00B37583" w:rsidRDefault="00B37583" w:rsidP="00B37583">
            <w:pPr>
              <w:autoSpaceDE w:val="0"/>
              <w:autoSpaceDN w:val="0"/>
              <w:adjustRightInd w:val="0"/>
              <w:jc w:val="center"/>
              <w:rPr>
                <w:color w:val="000000"/>
                <w:sz w:val="24"/>
              </w:rPr>
            </w:pPr>
            <w:r w:rsidRPr="00B37583">
              <w:rPr>
                <w:color w:val="000000"/>
                <w:sz w:val="24"/>
              </w:rPr>
              <w:t>7</w:t>
            </w:r>
          </w:p>
        </w:tc>
      </w:tr>
      <w:tr w:rsidR="00B37583" w:rsidRPr="00B37583" w:rsidTr="00B37583">
        <w:trPr>
          <w:trHeight w:val="274"/>
        </w:trPr>
        <w:tc>
          <w:tcPr>
            <w:tcW w:w="5524" w:type="dxa"/>
            <w:vAlign w:val="bottom"/>
          </w:tcPr>
          <w:p w:rsidR="00B37583" w:rsidRPr="00B37583" w:rsidRDefault="00B37583" w:rsidP="00B37583">
            <w:pPr>
              <w:autoSpaceDE w:val="0"/>
              <w:autoSpaceDN w:val="0"/>
              <w:adjustRightInd w:val="0"/>
              <w:rPr>
                <w:color w:val="000000"/>
                <w:sz w:val="24"/>
              </w:rPr>
            </w:pPr>
            <w:r w:rsidRPr="00B37583">
              <w:rPr>
                <w:color w:val="000000"/>
                <w:sz w:val="24"/>
              </w:rPr>
              <w:t>NATURE RESERVE LODGE</w:t>
            </w:r>
          </w:p>
        </w:tc>
        <w:tc>
          <w:tcPr>
            <w:tcW w:w="3675" w:type="dxa"/>
            <w:vAlign w:val="bottom"/>
          </w:tcPr>
          <w:p w:rsidR="00B37583" w:rsidRPr="00B37583" w:rsidRDefault="00B37583" w:rsidP="00B37583">
            <w:pPr>
              <w:autoSpaceDE w:val="0"/>
              <w:autoSpaceDN w:val="0"/>
              <w:adjustRightInd w:val="0"/>
              <w:jc w:val="center"/>
              <w:rPr>
                <w:color w:val="000000"/>
                <w:sz w:val="24"/>
              </w:rPr>
            </w:pPr>
            <w:r w:rsidRPr="00B37583">
              <w:rPr>
                <w:color w:val="000000"/>
                <w:sz w:val="24"/>
              </w:rPr>
              <w:t>6</w:t>
            </w:r>
          </w:p>
        </w:tc>
      </w:tr>
      <w:tr w:rsidR="00B37583" w:rsidRPr="00B37583" w:rsidTr="00B37583">
        <w:trPr>
          <w:trHeight w:val="274"/>
        </w:trPr>
        <w:tc>
          <w:tcPr>
            <w:tcW w:w="5524" w:type="dxa"/>
            <w:vAlign w:val="bottom"/>
          </w:tcPr>
          <w:p w:rsidR="00B37583" w:rsidRPr="00B37583" w:rsidRDefault="00B37583" w:rsidP="00B37583">
            <w:pPr>
              <w:autoSpaceDE w:val="0"/>
              <w:autoSpaceDN w:val="0"/>
              <w:adjustRightInd w:val="0"/>
              <w:rPr>
                <w:color w:val="000000"/>
                <w:sz w:val="24"/>
              </w:rPr>
            </w:pPr>
            <w:r w:rsidRPr="00B37583">
              <w:rPr>
                <w:color w:val="000000"/>
                <w:sz w:val="24"/>
              </w:rPr>
              <w:t>Other</w:t>
            </w:r>
          </w:p>
        </w:tc>
        <w:tc>
          <w:tcPr>
            <w:tcW w:w="3675" w:type="dxa"/>
            <w:vAlign w:val="bottom"/>
          </w:tcPr>
          <w:p w:rsidR="00B37583" w:rsidRPr="00B37583" w:rsidRDefault="00B37583" w:rsidP="00B37583">
            <w:pPr>
              <w:autoSpaceDE w:val="0"/>
              <w:autoSpaceDN w:val="0"/>
              <w:adjustRightInd w:val="0"/>
              <w:jc w:val="center"/>
              <w:rPr>
                <w:color w:val="000000"/>
                <w:sz w:val="24"/>
              </w:rPr>
            </w:pPr>
            <w:r w:rsidRPr="00B37583">
              <w:rPr>
                <w:color w:val="000000"/>
                <w:sz w:val="24"/>
              </w:rPr>
              <w:t>1</w:t>
            </w:r>
          </w:p>
        </w:tc>
      </w:tr>
      <w:tr w:rsidR="00B37583" w:rsidRPr="00B37583" w:rsidTr="00B37583">
        <w:trPr>
          <w:trHeight w:val="274"/>
        </w:trPr>
        <w:tc>
          <w:tcPr>
            <w:tcW w:w="5524" w:type="dxa"/>
            <w:vAlign w:val="bottom"/>
          </w:tcPr>
          <w:p w:rsidR="00B37583" w:rsidRPr="00B37583" w:rsidRDefault="00B37583" w:rsidP="00B37583">
            <w:pPr>
              <w:autoSpaceDE w:val="0"/>
              <w:autoSpaceDN w:val="0"/>
              <w:adjustRightInd w:val="0"/>
              <w:rPr>
                <w:color w:val="000000"/>
                <w:sz w:val="24"/>
              </w:rPr>
            </w:pPr>
            <w:r w:rsidRPr="00B37583">
              <w:rPr>
                <w:color w:val="000000"/>
                <w:sz w:val="24"/>
              </w:rPr>
              <w:t>RESORT</w:t>
            </w:r>
          </w:p>
        </w:tc>
        <w:tc>
          <w:tcPr>
            <w:tcW w:w="3675" w:type="dxa"/>
            <w:vAlign w:val="bottom"/>
          </w:tcPr>
          <w:p w:rsidR="00B37583" w:rsidRPr="00B37583" w:rsidRDefault="00B37583" w:rsidP="00B37583">
            <w:pPr>
              <w:autoSpaceDE w:val="0"/>
              <w:autoSpaceDN w:val="0"/>
              <w:adjustRightInd w:val="0"/>
              <w:jc w:val="center"/>
              <w:rPr>
                <w:color w:val="000000"/>
                <w:sz w:val="24"/>
              </w:rPr>
            </w:pPr>
            <w:r w:rsidRPr="00B37583">
              <w:rPr>
                <w:color w:val="000000"/>
                <w:sz w:val="24"/>
              </w:rPr>
              <w:t>12</w:t>
            </w:r>
          </w:p>
        </w:tc>
      </w:tr>
      <w:tr w:rsidR="00B37583" w:rsidRPr="00B37583" w:rsidTr="00B37583">
        <w:trPr>
          <w:trHeight w:val="274"/>
        </w:trPr>
        <w:tc>
          <w:tcPr>
            <w:tcW w:w="5524" w:type="dxa"/>
            <w:vAlign w:val="bottom"/>
          </w:tcPr>
          <w:p w:rsidR="00B37583" w:rsidRPr="00B37583" w:rsidRDefault="00B37583" w:rsidP="00B37583">
            <w:pPr>
              <w:autoSpaceDE w:val="0"/>
              <w:autoSpaceDN w:val="0"/>
              <w:adjustRightInd w:val="0"/>
              <w:rPr>
                <w:color w:val="000000"/>
                <w:sz w:val="24"/>
              </w:rPr>
            </w:pPr>
            <w:r w:rsidRPr="00B37583">
              <w:rPr>
                <w:color w:val="000000"/>
                <w:sz w:val="24"/>
              </w:rPr>
              <w:t>Training Centre</w:t>
            </w:r>
          </w:p>
        </w:tc>
        <w:tc>
          <w:tcPr>
            <w:tcW w:w="3675" w:type="dxa"/>
            <w:vAlign w:val="bottom"/>
          </w:tcPr>
          <w:p w:rsidR="00B37583" w:rsidRPr="00B37583" w:rsidRDefault="00B37583" w:rsidP="00B37583">
            <w:pPr>
              <w:autoSpaceDE w:val="0"/>
              <w:autoSpaceDN w:val="0"/>
              <w:adjustRightInd w:val="0"/>
              <w:jc w:val="center"/>
              <w:rPr>
                <w:color w:val="000000"/>
                <w:sz w:val="24"/>
              </w:rPr>
            </w:pPr>
            <w:r w:rsidRPr="00B37583">
              <w:rPr>
                <w:color w:val="000000"/>
                <w:sz w:val="24"/>
              </w:rPr>
              <w:t>4</w:t>
            </w:r>
          </w:p>
        </w:tc>
      </w:tr>
      <w:tr w:rsidR="00B37583" w:rsidRPr="00B37583" w:rsidTr="00B37583">
        <w:trPr>
          <w:trHeight w:val="274"/>
        </w:trPr>
        <w:tc>
          <w:tcPr>
            <w:tcW w:w="5524" w:type="dxa"/>
            <w:shd w:val="clear" w:color="auto" w:fill="E36C0A" w:themeFill="accent6" w:themeFillShade="BF"/>
          </w:tcPr>
          <w:p w:rsidR="00B37583" w:rsidRPr="00B37583" w:rsidRDefault="00B37583" w:rsidP="00B37583">
            <w:pPr>
              <w:autoSpaceDE w:val="0"/>
              <w:autoSpaceDN w:val="0"/>
              <w:adjustRightInd w:val="0"/>
              <w:rPr>
                <w:b/>
                <w:bCs/>
                <w:color w:val="FFFFFF" w:themeColor="background1"/>
                <w:sz w:val="24"/>
              </w:rPr>
            </w:pPr>
            <w:r w:rsidRPr="00B37583">
              <w:rPr>
                <w:b/>
                <w:bCs/>
                <w:color w:val="FFFFFF" w:themeColor="background1"/>
                <w:sz w:val="24"/>
              </w:rPr>
              <w:t>Grand Total</w:t>
            </w:r>
          </w:p>
        </w:tc>
        <w:tc>
          <w:tcPr>
            <w:tcW w:w="3675" w:type="dxa"/>
            <w:shd w:val="clear" w:color="auto" w:fill="E36C0A" w:themeFill="accent6" w:themeFillShade="BF"/>
          </w:tcPr>
          <w:p w:rsidR="00B37583" w:rsidRPr="00B37583" w:rsidRDefault="00B37583" w:rsidP="00B37583">
            <w:pPr>
              <w:autoSpaceDE w:val="0"/>
              <w:autoSpaceDN w:val="0"/>
              <w:adjustRightInd w:val="0"/>
              <w:jc w:val="center"/>
              <w:rPr>
                <w:b/>
                <w:bCs/>
                <w:color w:val="FFFFFF" w:themeColor="background1"/>
                <w:sz w:val="24"/>
              </w:rPr>
            </w:pPr>
            <w:r w:rsidRPr="00B37583">
              <w:rPr>
                <w:b/>
                <w:bCs/>
                <w:color w:val="FFFFFF" w:themeColor="background1"/>
                <w:sz w:val="24"/>
              </w:rPr>
              <w:t>136</w:t>
            </w:r>
          </w:p>
        </w:tc>
      </w:tr>
    </w:tbl>
    <w:p w:rsidR="00B37583" w:rsidRPr="00B37583" w:rsidRDefault="00B37583" w:rsidP="00B37583">
      <w:pPr>
        <w:pStyle w:val="xxmsolistparagraph"/>
        <w:ind w:left="0"/>
        <w:rPr>
          <w:rFonts w:ascii="Arial" w:eastAsia="Times New Roman" w:hAnsi="Arial" w:cs="Arial"/>
          <w:sz w:val="24"/>
          <w:szCs w:val="24"/>
        </w:rPr>
      </w:pPr>
    </w:p>
    <w:p w:rsidR="00B37583" w:rsidRPr="00B37583" w:rsidRDefault="00B37583" w:rsidP="00B37583">
      <w:pPr>
        <w:pStyle w:val="xxmsolistparagraph"/>
        <w:ind w:left="0"/>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Default="00B37583" w:rsidP="00B37583">
      <w:pPr>
        <w:pStyle w:val="xxmsolistparagraph"/>
        <w:ind w:left="0"/>
        <w:jc w:val="both"/>
        <w:rPr>
          <w:rFonts w:ascii="Arial" w:eastAsia="Times New Roman" w:hAnsi="Arial" w:cs="Arial"/>
          <w:sz w:val="24"/>
          <w:szCs w:val="24"/>
        </w:rPr>
      </w:pPr>
    </w:p>
    <w:p w:rsidR="00B37583" w:rsidRPr="00B37583" w:rsidRDefault="00B37583" w:rsidP="00B37583">
      <w:pPr>
        <w:pStyle w:val="xxmsolistparagraph"/>
        <w:jc w:val="both"/>
        <w:rPr>
          <w:rFonts w:ascii="Arial" w:eastAsia="Times New Roman" w:hAnsi="Arial" w:cs="Arial"/>
          <w:sz w:val="24"/>
          <w:szCs w:val="24"/>
        </w:rPr>
      </w:pPr>
      <w:r w:rsidRPr="00B37583">
        <w:rPr>
          <w:rFonts w:ascii="Arial" w:eastAsia="Times New Roman" w:hAnsi="Arial" w:cs="Arial"/>
          <w:sz w:val="24"/>
          <w:szCs w:val="24"/>
        </w:rPr>
        <w:t>These sites were assessed for their suitability against a set of guidelines that looks at their locality, access to the site, ventilation, basic infrastructure requirements like access to electricity and water and then space for each occupant.</w:t>
      </w:r>
    </w:p>
    <w:p w:rsidR="00B37583" w:rsidRPr="00B37583" w:rsidRDefault="00B37583" w:rsidP="00B37583">
      <w:pPr>
        <w:pStyle w:val="xxmsolistparagraph"/>
        <w:ind w:left="0"/>
        <w:jc w:val="both"/>
        <w:rPr>
          <w:rFonts w:ascii="Arial" w:eastAsia="Times New Roman" w:hAnsi="Arial" w:cs="Arial"/>
          <w:b/>
          <w:caps/>
          <w:sz w:val="24"/>
          <w:szCs w:val="24"/>
        </w:rPr>
      </w:pPr>
    </w:p>
    <w:p w:rsidR="00B37583" w:rsidRPr="00B37583" w:rsidRDefault="00B37583" w:rsidP="00B37583">
      <w:pPr>
        <w:pStyle w:val="xxmsolistparagraph"/>
        <w:ind w:left="709" w:hanging="709"/>
        <w:jc w:val="both"/>
        <w:rPr>
          <w:rFonts w:ascii="Arial" w:eastAsia="Times New Roman" w:hAnsi="Arial" w:cs="Arial"/>
          <w:sz w:val="24"/>
          <w:szCs w:val="24"/>
        </w:rPr>
      </w:pPr>
      <w:r>
        <w:rPr>
          <w:rFonts w:ascii="Arial" w:eastAsia="Times New Roman" w:hAnsi="Arial" w:cs="Arial"/>
          <w:sz w:val="24"/>
          <w:szCs w:val="24"/>
        </w:rPr>
        <w:t xml:space="preserve"> (c)</w:t>
      </w:r>
      <w:r>
        <w:rPr>
          <w:rFonts w:ascii="Arial" w:eastAsia="Times New Roman" w:hAnsi="Arial" w:cs="Arial"/>
          <w:sz w:val="24"/>
          <w:szCs w:val="24"/>
        </w:rPr>
        <w:tab/>
      </w:r>
      <w:r w:rsidRPr="00B37583">
        <w:rPr>
          <w:rFonts w:ascii="Arial" w:eastAsia="Times New Roman" w:hAnsi="Arial" w:cs="Arial"/>
          <w:sz w:val="24"/>
          <w:szCs w:val="24"/>
        </w:rPr>
        <w:t>There is a list of equipment requirements provided for in the guideline that include the following:</w:t>
      </w:r>
    </w:p>
    <w:p w:rsidR="00B37583" w:rsidRPr="00B37583" w:rsidRDefault="00B37583" w:rsidP="00B37583">
      <w:pPr>
        <w:pStyle w:val="xxmsolistparagraph"/>
        <w:ind w:left="0"/>
        <w:jc w:val="both"/>
        <w:rPr>
          <w:rFonts w:ascii="Arial" w:eastAsia="Times New Roman" w:hAnsi="Arial" w:cs="Arial"/>
          <w:sz w:val="24"/>
          <w:szCs w:val="24"/>
        </w:rPr>
      </w:pPr>
    </w:p>
    <w:tbl>
      <w:tblPr>
        <w:tblW w:w="9493"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93"/>
      </w:tblGrid>
      <w:tr w:rsidR="00B37583" w:rsidRPr="00B37583" w:rsidTr="00B37583">
        <w:trPr>
          <w:cantSplit/>
          <w:trHeight w:val="20"/>
        </w:trPr>
        <w:tc>
          <w:tcPr>
            <w:tcW w:w="9493" w:type="dxa"/>
            <w:shd w:val="clear" w:color="auto" w:fill="E36C0A" w:themeFill="accent6" w:themeFillShade="BF"/>
            <w:tcMar>
              <w:top w:w="14" w:type="dxa"/>
              <w:left w:w="100" w:type="dxa"/>
              <w:bottom w:w="14" w:type="dxa"/>
              <w:right w:w="100" w:type="dxa"/>
            </w:tcMar>
          </w:tcPr>
          <w:p w:rsidR="00B37583" w:rsidRPr="00B37583" w:rsidRDefault="00B37583" w:rsidP="00B37583">
            <w:pPr>
              <w:widowControl w:val="0"/>
              <w:jc w:val="both"/>
              <w:rPr>
                <w:b/>
                <w:color w:val="FFFFFF" w:themeColor="background1"/>
                <w:sz w:val="24"/>
              </w:rPr>
            </w:pPr>
            <w:r w:rsidRPr="00B37583">
              <w:rPr>
                <w:b/>
                <w:color w:val="FFFFFF" w:themeColor="background1"/>
                <w:sz w:val="24"/>
              </w:rPr>
              <w:t>Minimum Equipment</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rPr>
                <w:sz w:val="24"/>
              </w:rPr>
            </w:pPr>
            <w:r w:rsidRPr="00B37583">
              <w:rPr>
                <w:sz w:val="24"/>
              </w:rPr>
              <w:t>Clinical gloves (latex, single-use gloves for clinical care)</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shd w:val="clear" w:color="auto" w:fill="FFFFFF"/>
              <w:rPr>
                <w:sz w:val="24"/>
              </w:rPr>
            </w:pPr>
            <w:r w:rsidRPr="00B37583">
              <w:rPr>
                <w:sz w:val="24"/>
              </w:rPr>
              <w:t>N95 masks – only for aerosol generating procedures (taking of specimens)</w:t>
            </w:r>
          </w:p>
          <w:p w:rsidR="00B37583" w:rsidRPr="00B37583" w:rsidRDefault="00B37583" w:rsidP="00B37583">
            <w:pPr>
              <w:widowControl w:val="0"/>
              <w:shd w:val="clear" w:color="auto" w:fill="FFFFFF"/>
              <w:rPr>
                <w:sz w:val="24"/>
              </w:rPr>
            </w:pPr>
            <w:r w:rsidRPr="00B37583">
              <w:rPr>
                <w:sz w:val="24"/>
              </w:rPr>
              <w:t xml:space="preserve">Medical/Surgical masks </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shd w:val="clear" w:color="auto" w:fill="FFFFFF"/>
              <w:rPr>
                <w:sz w:val="24"/>
              </w:rPr>
            </w:pPr>
            <w:r w:rsidRPr="00B37583">
              <w:rPr>
                <w:sz w:val="24"/>
              </w:rPr>
              <w:t>Aprons - disposable</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shd w:val="clear" w:color="auto" w:fill="FFFFFF"/>
              <w:rPr>
                <w:sz w:val="24"/>
              </w:rPr>
            </w:pPr>
            <w:r w:rsidRPr="00B37583">
              <w:rPr>
                <w:sz w:val="24"/>
              </w:rPr>
              <w:t>Sharps containers</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rPr>
                <w:sz w:val="24"/>
              </w:rPr>
            </w:pPr>
            <w:r w:rsidRPr="00B37583">
              <w:rPr>
                <w:sz w:val="24"/>
              </w:rPr>
              <w:t>Red health risk waste bags to be in health care risk waste box with biohazard sign</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rPr>
                <w:sz w:val="24"/>
              </w:rPr>
            </w:pPr>
            <w:r w:rsidRPr="00B37583">
              <w:rPr>
                <w:sz w:val="24"/>
              </w:rPr>
              <w:t xml:space="preserve">Alcohol-based hand sanitiser </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shd w:val="clear" w:color="auto" w:fill="FFFFFF"/>
              <w:rPr>
                <w:sz w:val="24"/>
              </w:rPr>
            </w:pPr>
            <w:r w:rsidRPr="00B37583">
              <w:rPr>
                <w:sz w:val="24"/>
              </w:rPr>
              <w:t xml:space="preserve">Liquid hand wash </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shd w:val="clear" w:color="auto" w:fill="FFFFFF"/>
              <w:rPr>
                <w:sz w:val="24"/>
              </w:rPr>
            </w:pPr>
            <w:r w:rsidRPr="00B37583">
              <w:rPr>
                <w:sz w:val="24"/>
              </w:rPr>
              <w:t>Clean single-use towels (e.g. paper towels)</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rPr>
                <w:sz w:val="24"/>
              </w:rPr>
            </w:pPr>
            <w:r w:rsidRPr="00B37583">
              <w:rPr>
                <w:sz w:val="24"/>
              </w:rPr>
              <w:t>Cleaning gloves (reusable vinyl or rubber gloves for environmental cleaning)</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shd w:val="clear" w:color="auto" w:fill="FFFFFF"/>
              <w:rPr>
                <w:sz w:val="24"/>
              </w:rPr>
            </w:pPr>
            <w:r w:rsidRPr="00B37583">
              <w:rPr>
                <w:sz w:val="24"/>
              </w:rPr>
              <w:t>Appropriate detergent for environmental cleaning and disinfectant for disinfection of surfaces, instruments or equipment</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shd w:val="clear" w:color="auto" w:fill="FFFFFF"/>
              <w:rPr>
                <w:sz w:val="24"/>
              </w:rPr>
            </w:pPr>
            <w:r w:rsidRPr="00B37583">
              <w:rPr>
                <w:sz w:val="24"/>
              </w:rPr>
              <w:t>Large plastic bag for general waste (black or transparent)</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shd w:val="clear" w:color="auto" w:fill="FFFFFF"/>
              <w:rPr>
                <w:sz w:val="24"/>
              </w:rPr>
            </w:pPr>
            <w:r w:rsidRPr="00B37583">
              <w:rPr>
                <w:sz w:val="24"/>
              </w:rPr>
              <w:t>Linen bags</w:t>
            </w:r>
          </w:p>
        </w:tc>
      </w:tr>
      <w:tr w:rsidR="00B37583" w:rsidRPr="00B37583" w:rsidTr="00B37583">
        <w:trPr>
          <w:cantSplit/>
          <w:trHeight w:val="20"/>
        </w:trPr>
        <w:tc>
          <w:tcPr>
            <w:tcW w:w="9493" w:type="dxa"/>
            <w:tcMar>
              <w:top w:w="14" w:type="dxa"/>
              <w:left w:w="100" w:type="dxa"/>
              <w:bottom w:w="14" w:type="dxa"/>
              <w:right w:w="100" w:type="dxa"/>
            </w:tcMar>
          </w:tcPr>
          <w:p w:rsidR="00B37583" w:rsidRPr="00B37583" w:rsidRDefault="00B37583" w:rsidP="00B37583">
            <w:pPr>
              <w:widowControl w:val="0"/>
              <w:shd w:val="clear" w:color="auto" w:fill="FFFFFF"/>
              <w:rPr>
                <w:sz w:val="24"/>
              </w:rPr>
            </w:pPr>
            <w:r w:rsidRPr="00B37583">
              <w:rPr>
                <w:sz w:val="24"/>
              </w:rPr>
              <w:t xml:space="preserve">Collection container for used equipment </w:t>
            </w:r>
          </w:p>
        </w:tc>
      </w:tr>
    </w:tbl>
    <w:p w:rsidR="00B37583" w:rsidRPr="00B37583" w:rsidRDefault="00B37583" w:rsidP="00B37583">
      <w:pPr>
        <w:pStyle w:val="xxmsolistparagraph"/>
        <w:ind w:left="0"/>
        <w:rPr>
          <w:rFonts w:ascii="Arial" w:eastAsia="Times New Roman" w:hAnsi="Arial" w:cs="Arial"/>
          <w:sz w:val="24"/>
          <w:szCs w:val="24"/>
        </w:rPr>
      </w:pPr>
    </w:p>
    <w:p w:rsidR="00B37583" w:rsidRPr="00B37583" w:rsidRDefault="00B37583" w:rsidP="00B37583">
      <w:pPr>
        <w:pStyle w:val="xxmsolistparagraph"/>
        <w:jc w:val="both"/>
        <w:rPr>
          <w:rFonts w:ascii="Arial" w:eastAsia="Times New Roman" w:hAnsi="Arial" w:cs="Arial"/>
          <w:sz w:val="24"/>
          <w:szCs w:val="24"/>
        </w:rPr>
      </w:pPr>
      <w:r w:rsidRPr="00B37583">
        <w:rPr>
          <w:rFonts w:ascii="Arial" w:eastAsia="Times New Roman" w:hAnsi="Arial" w:cs="Arial"/>
          <w:sz w:val="24"/>
          <w:szCs w:val="24"/>
        </w:rPr>
        <w:t xml:space="preserve">What has been issued to each site is dependent on the type of site and their own commitment to the cause.  In the Western Cape for example some privately owned sites only required masks, gloves, bioboxes and red bags. The rest were provided by the establishment themselves. </w:t>
      </w:r>
    </w:p>
    <w:p w:rsidR="00B37583" w:rsidRPr="00B37583" w:rsidRDefault="00B37583" w:rsidP="00B37583">
      <w:pPr>
        <w:pStyle w:val="xxmsolistparagraph"/>
        <w:jc w:val="both"/>
        <w:rPr>
          <w:rFonts w:ascii="Arial" w:eastAsia="Times New Roman" w:hAnsi="Arial" w:cs="Arial"/>
          <w:sz w:val="24"/>
          <w:szCs w:val="24"/>
        </w:rPr>
      </w:pPr>
    </w:p>
    <w:p w:rsidR="00B37583" w:rsidRDefault="00B37583" w:rsidP="00B37583">
      <w:pPr>
        <w:pStyle w:val="xxmsolistparagraph"/>
        <w:ind w:left="709" w:hanging="709"/>
        <w:jc w:val="both"/>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Pr="00B37583">
        <w:rPr>
          <w:rFonts w:ascii="Arial" w:eastAsia="Times New Roman" w:hAnsi="Arial" w:cs="Arial"/>
          <w:sz w:val="24"/>
          <w:szCs w:val="24"/>
        </w:rPr>
        <w:t>A standard set of training is conducted by Provincial Departments of Health related to the following:</w:t>
      </w:r>
    </w:p>
    <w:p w:rsidR="00B37583" w:rsidRPr="00B37583" w:rsidRDefault="00B37583" w:rsidP="00B37583">
      <w:pPr>
        <w:pStyle w:val="xxmsolistparagraph"/>
        <w:ind w:left="709" w:hanging="709"/>
        <w:jc w:val="both"/>
        <w:rPr>
          <w:rFonts w:ascii="Arial" w:eastAsia="Times New Roman" w:hAnsi="Arial" w:cs="Arial"/>
          <w:sz w:val="24"/>
          <w:szCs w:val="24"/>
        </w:rPr>
      </w:pPr>
    </w:p>
    <w:p w:rsidR="00B37583" w:rsidRPr="00B37583" w:rsidRDefault="00B37583" w:rsidP="00B37583">
      <w:pPr>
        <w:pStyle w:val="xxmsolistparagraph"/>
        <w:numPr>
          <w:ilvl w:val="0"/>
          <w:numId w:val="4"/>
        </w:numPr>
        <w:ind w:left="1134"/>
        <w:jc w:val="both"/>
        <w:rPr>
          <w:rFonts w:ascii="Arial" w:eastAsia="Times New Roman" w:hAnsi="Arial" w:cs="Arial"/>
          <w:sz w:val="24"/>
          <w:szCs w:val="24"/>
        </w:rPr>
      </w:pPr>
      <w:r w:rsidRPr="00B37583">
        <w:rPr>
          <w:rFonts w:ascii="Arial" w:eastAsia="Times New Roman" w:hAnsi="Arial" w:cs="Arial"/>
          <w:sz w:val="24"/>
          <w:szCs w:val="24"/>
        </w:rPr>
        <w:t>Training of healthcare professional on SOPs that needs to be followed at the quarantine centres for daily examination, movements in the facility, infection prevention control measures and use of PPE kit etc.</w:t>
      </w:r>
    </w:p>
    <w:p w:rsidR="00B37583" w:rsidRPr="00B37583" w:rsidRDefault="00B37583" w:rsidP="00B37583">
      <w:pPr>
        <w:pStyle w:val="xxmsolistparagraph"/>
        <w:numPr>
          <w:ilvl w:val="0"/>
          <w:numId w:val="4"/>
        </w:numPr>
        <w:spacing w:after="240"/>
        <w:ind w:left="1134" w:hanging="357"/>
        <w:jc w:val="both"/>
        <w:rPr>
          <w:rFonts w:ascii="Arial" w:eastAsia="Times New Roman" w:hAnsi="Arial" w:cs="Arial"/>
          <w:sz w:val="24"/>
          <w:szCs w:val="24"/>
        </w:rPr>
      </w:pPr>
      <w:r w:rsidRPr="00B37583">
        <w:rPr>
          <w:rFonts w:ascii="Arial" w:eastAsia="Times New Roman" w:hAnsi="Arial" w:cs="Arial"/>
          <w:sz w:val="24"/>
          <w:szCs w:val="24"/>
        </w:rPr>
        <w:lastRenderedPageBreak/>
        <w:t xml:space="preserve">Paramedical staff (staff nurses, medics, pharmacist etc) need to be trained on SOPs to be followed at quarantine/isolation centres and use of PPE. </w:t>
      </w:r>
    </w:p>
    <w:p w:rsidR="00B37583" w:rsidRPr="00B37583" w:rsidRDefault="00B37583" w:rsidP="00B37583">
      <w:pPr>
        <w:pStyle w:val="xxmsolistparagraph"/>
        <w:numPr>
          <w:ilvl w:val="0"/>
          <w:numId w:val="4"/>
        </w:numPr>
        <w:spacing w:after="240"/>
        <w:ind w:left="1134" w:hanging="357"/>
        <w:jc w:val="both"/>
        <w:rPr>
          <w:rFonts w:ascii="Arial" w:eastAsia="Times New Roman" w:hAnsi="Arial" w:cs="Arial"/>
          <w:sz w:val="24"/>
          <w:szCs w:val="24"/>
        </w:rPr>
      </w:pPr>
      <w:r w:rsidRPr="00B37583">
        <w:rPr>
          <w:rFonts w:ascii="Arial" w:eastAsia="Times New Roman" w:hAnsi="Arial" w:cs="Arial"/>
          <w:sz w:val="24"/>
          <w:szCs w:val="24"/>
        </w:rPr>
        <w:t>Support staff (housekeepers/cleaners, caterers, security staff, drivers and general duty staff) need to be trained on the use of masks, gloves, cleaning and disinfection procedures and use of PPE kit, etc.</w:t>
      </w:r>
    </w:p>
    <w:p w:rsidR="00B37583" w:rsidRPr="00B37583" w:rsidRDefault="00B37583" w:rsidP="00B37583">
      <w:pPr>
        <w:pStyle w:val="xxmsolistparagraph"/>
        <w:numPr>
          <w:ilvl w:val="0"/>
          <w:numId w:val="4"/>
        </w:numPr>
        <w:spacing w:after="240"/>
        <w:ind w:left="1134" w:hanging="357"/>
        <w:jc w:val="both"/>
        <w:rPr>
          <w:rFonts w:ascii="Arial" w:eastAsia="Times New Roman" w:hAnsi="Arial" w:cs="Arial"/>
          <w:sz w:val="24"/>
          <w:szCs w:val="24"/>
        </w:rPr>
      </w:pPr>
      <w:r w:rsidRPr="00B37583">
        <w:rPr>
          <w:rFonts w:ascii="Arial" w:eastAsia="Times New Roman" w:hAnsi="Arial" w:cs="Arial"/>
          <w:sz w:val="24"/>
          <w:szCs w:val="24"/>
        </w:rPr>
        <w:t xml:space="preserve">When a new staff member is assigned to a quarantine/isolation site, it needs to be ensured that he/she has received proper training before undertaking the work. </w:t>
      </w:r>
    </w:p>
    <w:p w:rsidR="00B37583" w:rsidRPr="00B37583" w:rsidRDefault="00B37583" w:rsidP="00B37583">
      <w:pPr>
        <w:pStyle w:val="xxmsolistparagraph"/>
        <w:numPr>
          <w:ilvl w:val="0"/>
          <w:numId w:val="4"/>
        </w:numPr>
        <w:spacing w:after="240"/>
        <w:ind w:left="1134" w:hanging="357"/>
        <w:jc w:val="both"/>
        <w:rPr>
          <w:rFonts w:ascii="Arial" w:eastAsia="Times New Roman" w:hAnsi="Arial" w:cs="Arial"/>
          <w:sz w:val="24"/>
          <w:szCs w:val="24"/>
        </w:rPr>
      </w:pPr>
      <w:r w:rsidRPr="00B37583">
        <w:rPr>
          <w:rFonts w:ascii="Arial" w:eastAsia="Times New Roman" w:hAnsi="Arial" w:cs="Arial"/>
          <w:sz w:val="24"/>
          <w:szCs w:val="24"/>
        </w:rPr>
        <w:t>All training should emphasise that all activities/procedures must be done under the strict monitoring and observation of trained specialists.</w:t>
      </w:r>
    </w:p>
    <w:p w:rsidR="00B37583" w:rsidRPr="00B37583" w:rsidRDefault="00B37583" w:rsidP="00B37583">
      <w:pPr>
        <w:pStyle w:val="xxmsolistparagraph"/>
        <w:ind w:left="0" w:firstLine="720"/>
        <w:jc w:val="both"/>
        <w:rPr>
          <w:rFonts w:ascii="Arial" w:eastAsia="Times New Roman" w:hAnsi="Arial" w:cs="Arial"/>
          <w:sz w:val="24"/>
          <w:szCs w:val="24"/>
        </w:rPr>
      </w:pPr>
      <w:r w:rsidRPr="00B37583">
        <w:rPr>
          <w:rFonts w:ascii="Arial" w:eastAsia="Times New Roman" w:hAnsi="Arial" w:cs="Arial"/>
          <w:sz w:val="24"/>
          <w:szCs w:val="24"/>
        </w:rPr>
        <w:t>The exact numbers of people trained at these facilities is currently unknown.</w:t>
      </w:r>
    </w:p>
    <w:p w:rsidR="00B37583" w:rsidRPr="00B37583" w:rsidRDefault="00B37583" w:rsidP="00B37583">
      <w:pPr>
        <w:pStyle w:val="xxmsolistparagraph"/>
        <w:ind w:left="0"/>
        <w:jc w:val="both"/>
        <w:rPr>
          <w:rFonts w:ascii="Arial" w:eastAsia="Times New Roman" w:hAnsi="Arial" w:cs="Arial"/>
          <w:sz w:val="24"/>
          <w:szCs w:val="24"/>
        </w:rPr>
      </w:pPr>
    </w:p>
    <w:p w:rsidR="00B37583" w:rsidRPr="00B37583" w:rsidRDefault="00B37583" w:rsidP="00B37583">
      <w:pPr>
        <w:pStyle w:val="xxmsolistparagraph"/>
        <w:ind w:hanging="660"/>
        <w:jc w:val="both"/>
        <w:rPr>
          <w:rFonts w:ascii="Arial" w:eastAsia="Times New Roman" w:hAnsi="Arial" w:cs="Arial"/>
          <w:sz w:val="24"/>
          <w:szCs w:val="24"/>
        </w:rPr>
      </w:pPr>
      <w:r>
        <w:rPr>
          <w:rFonts w:ascii="Arial" w:eastAsia="Times New Roman" w:hAnsi="Arial" w:cs="Arial"/>
          <w:sz w:val="24"/>
          <w:szCs w:val="24"/>
        </w:rPr>
        <w:t xml:space="preserve">(e) </w:t>
      </w:r>
      <w:r>
        <w:rPr>
          <w:rFonts w:ascii="Arial" w:eastAsia="Times New Roman" w:hAnsi="Arial" w:cs="Arial"/>
          <w:sz w:val="24"/>
          <w:szCs w:val="24"/>
        </w:rPr>
        <w:tab/>
      </w:r>
      <w:r w:rsidRPr="00B37583">
        <w:rPr>
          <w:rFonts w:ascii="Arial" w:eastAsia="Times New Roman" w:hAnsi="Arial" w:cs="Arial"/>
          <w:sz w:val="24"/>
          <w:szCs w:val="24"/>
        </w:rPr>
        <w:t xml:space="preserve">The costs associated at each of these centres varies and is dependent on the type of facility, who owns it and what the commitment is from each related to the cause. Private facilities in the hospitality industry is paid per person per night. For that they provide the full accommodation and catering support function, and the Provincial departments pick up the bill related to any clinical and waste management services.  Costs associated with that range between R850 to R1200 per night per person. This includes accommodation and two meals per day. </w:t>
      </w:r>
    </w:p>
    <w:p w:rsidR="00B37583" w:rsidRPr="00B37583" w:rsidRDefault="00B37583" w:rsidP="00B37583">
      <w:pPr>
        <w:pStyle w:val="xxmsolistparagraph"/>
        <w:ind w:left="0"/>
        <w:jc w:val="both"/>
        <w:rPr>
          <w:rFonts w:ascii="Arial" w:eastAsia="Times New Roman" w:hAnsi="Arial" w:cs="Arial"/>
          <w:sz w:val="24"/>
          <w:szCs w:val="24"/>
        </w:rPr>
      </w:pPr>
    </w:p>
    <w:p w:rsidR="00B37583" w:rsidRPr="00B37583" w:rsidRDefault="00B37583" w:rsidP="00B37583">
      <w:pPr>
        <w:pStyle w:val="xxmsolistparagraph"/>
        <w:jc w:val="both"/>
        <w:rPr>
          <w:rFonts w:ascii="Arial" w:eastAsia="Times New Roman" w:hAnsi="Arial" w:cs="Arial"/>
          <w:sz w:val="24"/>
          <w:szCs w:val="24"/>
        </w:rPr>
      </w:pPr>
      <w:r w:rsidRPr="00B37583">
        <w:rPr>
          <w:rFonts w:ascii="Arial" w:eastAsia="Times New Roman" w:hAnsi="Arial" w:cs="Arial"/>
          <w:sz w:val="24"/>
          <w:szCs w:val="24"/>
        </w:rPr>
        <w:t>For public facilities, again depending on the type of facility the cost would vary. From a priority perspective, public facilities already equipped with linen, beds and other basic furniture and services were first activated. In more dire times the Department is preparing public facilities by procurement of all beds, furnishing and operational equipment to activate facilities as a second priority. However, in the short term there is a heavy reliance on privately owned facilities where the moneys paid, also strengthened the tourism industry where no income could be generated.</w:t>
      </w:r>
    </w:p>
    <w:p w:rsidR="00B37583" w:rsidRPr="00B37583" w:rsidRDefault="00B37583" w:rsidP="00B37583">
      <w:pPr>
        <w:pStyle w:val="xxmsolistparagraph"/>
        <w:ind w:left="0"/>
        <w:jc w:val="both"/>
        <w:rPr>
          <w:rFonts w:ascii="Arial" w:eastAsia="Times New Roman" w:hAnsi="Arial" w:cs="Arial"/>
          <w:sz w:val="24"/>
          <w:szCs w:val="24"/>
        </w:rPr>
      </w:pPr>
    </w:p>
    <w:p w:rsidR="00B37583" w:rsidRPr="00B37583" w:rsidRDefault="00B37583" w:rsidP="00B37583">
      <w:pPr>
        <w:pStyle w:val="xxmsolistparagraph"/>
        <w:jc w:val="both"/>
        <w:rPr>
          <w:rFonts w:ascii="Arial" w:eastAsia="Times New Roman" w:hAnsi="Arial" w:cs="Arial"/>
          <w:sz w:val="24"/>
          <w:szCs w:val="24"/>
        </w:rPr>
      </w:pPr>
      <w:r w:rsidRPr="00B37583">
        <w:rPr>
          <w:rFonts w:ascii="Arial" w:eastAsia="Times New Roman" w:hAnsi="Arial" w:cs="Arial"/>
          <w:sz w:val="24"/>
          <w:szCs w:val="24"/>
        </w:rPr>
        <w:t xml:space="preserve">The procurement of Health Technology equipment is also not done in bulk and at a rapid rate to make provision and address the demands that Covid-19 is placing on the department. Equipment is issued to where it is needed and includes Medical, Isolation and Quarantine facilities so to isolate the costs to only quarantine facilities is difficult at present. </w:t>
      </w:r>
    </w:p>
    <w:p w:rsidR="00BB0548" w:rsidRDefault="00BB0548" w:rsidP="00B37583">
      <w:pPr>
        <w:pStyle w:val="BodyText"/>
        <w:rPr>
          <w:sz w:val="24"/>
          <w:lang w:val="en-GB"/>
        </w:rPr>
      </w:pPr>
    </w:p>
    <w:p w:rsidR="00B37583" w:rsidRPr="00B37583" w:rsidRDefault="00B37583" w:rsidP="00B37583">
      <w:pPr>
        <w:pStyle w:val="BodyText"/>
        <w:rPr>
          <w:sz w:val="24"/>
          <w:lang w:val="en-GB"/>
        </w:rPr>
      </w:pPr>
    </w:p>
    <w:p w:rsidR="00E238C2" w:rsidRPr="00B37583" w:rsidRDefault="00E238C2" w:rsidP="00B37583">
      <w:pPr>
        <w:pStyle w:val="BodyText"/>
        <w:rPr>
          <w:bCs/>
          <w:sz w:val="24"/>
          <w:lang w:val="en-GB"/>
        </w:rPr>
      </w:pPr>
      <w:r w:rsidRPr="00B37583">
        <w:rPr>
          <w:sz w:val="24"/>
          <w:lang w:val="en-GB"/>
        </w:rPr>
        <w:t>END.</w:t>
      </w:r>
    </w:p>
    <w:sectPr w:rsidR="00E238C2" w:rsidRPr="00B37583"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0B0" w:rsidRDefault="001310B0">
      <w:r>
        <w:separator/>
      </w:r>
    </w:p>
  </w:endnote>
  <w:endnote w:type="continuationSeparator" w:id="0">
    <w:p w:rsidR="001310B0" w:rsidRDefault="0013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90B48">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0B0" w:rsidRDefault="001310B0">
      <w:r>
        <w:separator/>
      </w:r>
    </w:p>
  </w:footnote>
  <w:footnote w:type="continuationSeparator" w:id="0">
    <w:p w:rsidR="001310B0" w:rsidRDefault="001310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1C86"/>
    <w:multiLevelType w:val="hybridMultilevel"/>
    <w:tmpl w:val="D12E6144"/>
    <w:lvl w:ilvl="0" w:tplc="C4DE1F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26C6C00"/>
    <w:multiLevelType w:val="hybridMultilevel"/>
    <w:tmpl w:val="EF26175C"/>
    <w:lvl w:ilvl="0" w:tplc="1C090001">
      <w:start w:val="1"/>
      <w:numFmt w:val="bullet"/>
      <w:lvlText w:val=""/>
      <w:lvlJc w:val="left"/>
      <w:pPr>
        <w:ind w:left="1440" w:hanging="360"/>
      </w:pPr>
      <w:rPr>
        <w:rFonts w:ascii="Symbol" w:hAnsi="Symbol" w:cs="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cs="Wingdings" w:hint="default"/>
      </w:rPr>
    </w:lvl>
    <w:lvl w:ilvl="3" w:tplc="1C090001" w:tentative="1">
      <w:start w:val="1"/>
      <w:numFmt w:val="bullet"/>
      <w:lvlText w:val=""/>
      <w:lvlJc w:val="left"/>
      <w:pPr>
        <w:ind w:left="3600" w:hanging="360"/>
      </w:pPr>
      <w:rPr>
        <w:rFonts w:ascii="Symbol" w:hAnsi="Symbol" w:cs="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cs="Wingdings" w:hint="default"/>
      </w:rPr>
    </w:lvl>
    <w:lvl w:ilvl="6" w:tplc="1C090001" w:tentative="1">
      <w:start w:val="1"/>
      <w:numFmt w:val="bullet"/>
      <w:lvlText w:val=""/>
      <w:lvlJc w:val="left"/>
      <w:pPr>
        <w:ind w:left="5760" w:hanging="360"/>
      </w:pPr>
      <w:rPr>
        <w:rFonts w:ascii="Symbol" w:hAnsi="Symbol" w:cs="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56B05CCC"/>
    <w:multiLevelType w:val="hybridMultilevel"/>
    <w:tmpl w:val="914A7128"/>
    <w:lvl w:ilvl="0" w:tplc="BCD015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7743"/>
    <w:rsid w:val="001102B2"/>
    <w:rsid w:val="0011153B"/>
    <w:rsid w:val="001126D2"/>
    <w:rsid w:val="00125A56"/>
    <w:rsid w:val="001310B0"/>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6C98"/>
    <w:rsid w:val="007A0D02"/>
    <w:rsid w:val="007A3E1B"/>
    <w:rsid w:val="007A4252"/>
    <w:rsid w:val="007A6FF8"/>
    <w:rsid w:val="007B39FB"/>
    <w:rsid w:val="007C1F51"/>
    <w:rsid w:val="007C5A69"/>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0B48"/>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8D"/>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46C4"/>
    <w:rsid w:val="009C00C3"/>
    <w:rsid w:val="009D2E42"/>
    <w:rsid w:val="009D3DA5"/>
    <w:rsid w:val="009D62A1"/>
    <w:rsid w:val="009D7850"/>
    <w:rsid w:val="009E05A5"/>
    <w:rsid w:val="009E6D1C"/>
    <w:rsid w:val="009F075E"/>
    <w:rsid w:val="009F0BA7"/>
    <w:rsid w:val="00A041C1"/>
    <w:rsid w:val="00A04A04"/>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583"/>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6B9C"/>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4626"/>
    <w:rsid w:val="00D96ED7"/>
    <w:rsid w:val="00DA3E25"/>
    <w:rsid w:val="00DA4C04"/>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paragraph" w:customStyle="1" w:styleId="xxmsolistparagraph">
    <w:name w:val="x_xmsolistparagraph"/>
    <w:basedOn w:val="Normal"/>
    <w:rsid w:val="00B37583"/>
    <w:pPr>
      <w:ind w:left="720"/>
    </w:pPr>
    <w:rPr>
      <w:rFonts w:ascii="Calibri" w:eastAsiaTheme="minorHAnsi" w:hAnsi="Calibri" w:cs="Calibri"/>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2020-06-11T14:26:00Z</dcterms:created>
  <dcterms:modified xsi:type="dcterms:W3CDTF">2020-06-11T14:26:00Z</dcterms:modified>
</cp:coreProperties>
</file>