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10364E"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28676873"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8736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EB124E" w:rsidRPr="006A3390" w:rsidRDefault="00E96607" w:rsidP="006A3390">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bookmarkStart w:id="0" w:name="_GoBack"/>
      <w:bookmarkEnd w:id="0"/>
      <w:r w:rsidR="00EB124E" w:rsidRPr="00873696">
        <w:rPr>
          <w:rFonts w:ascii="Arial" w:hAnsi="Arial" w:cs="Arial"/>
          <w:b/>
          <w:sz w:val="22"/>
          <w:szCs w:val="22"/>
        </w:rPr>
        <w:t>492.</w:t>
      </w:r>
      <w:r w:rsidR="00EB124E" w:rsidRPr="00873696">
        <w:rPr>
          <w:rFonts w:ascii="Arial" w:hAnsi="Arial" w:cs="Arial"/>
          <w:b/>
          <w:sz w:val="22"/>
          <w:szCs w:val="22"/>
        </w:rPr>
        <w:tab/>
        <w:t>Mr S J F Marais (DA) to ask the Minister of Defence and Military Veterans</w:t>
      </w:r>
      <w:r w:rsidR="00EB124E" w:rsidRPr="00873696">
        <w:rPr>
          <w:rFonts w:ascii="Arial" w:hAnsi="Arial" w:cs="Arial"/>
          <w:b/>
          <w:sz w:val="22"/>
          <w:szCs w:val="22"/>
        </w:rPr>
        <w:fldChar w:fldCharType="begin"/>
      </w:r>
      <w:r w:rsidR="00EB124E" w:rsidRPr="00873696">
        <w:rPr>
          <w:rFonts w:ascii="Arial" w:hAnsi="Arial" w:cs="Arial"/>
          <w:sz w:val="22"/>
          <w:szCs w:val="22"/>
        </w:rPr>
        <w:instrText xml:space="preserve"> XE "</w:instrText>
      </w:r>
      <w:r w:rsidR="00EB124E" w:rsidRPr="00873696">
        <w:rPr>
          <w:rFonts w:ascii="Arial" w:hAnsi="Arial" w:cs="Arial"/>
          <w:b/>
          <w:sz w:val="22"/>
          <w:szCs w:val="22"/>
        </w:rPr>
        <w:instrText>Defence and Military Veterans</w:instrText>
      </w:r>
      <w:r w:rsidR="00EB124E" w:rsidRPr="00873696">
        <w:rPr>
          <w:rFonts w:ascii="Arial" w:hAnsi="Arial" w:cs="Arial"/>
          <w:sz w:val="22"/>
          <w:szCs w:val="22"/>
        </w:rPr>
        <w:instrText xml:space="preserve">" </w:instrText>
      </w:r>
      <w:r w:rsidR="00EB124E" w:rsidRPr="00873696">
        <w:rPr>
          <w:rFonts w:ascii="Arial" w:hAnsi="Arial" w:cs="Arial"/>
          <w:b/>
          <w:sz w:val="22"/>
          <w:szCs w:val="22"/>
        </w:rPr>
        <w:fldChar w:fldCharType="end"/>
      </w:r>
      <w:r w:rsidR="00EB124E" w:rsidRPr="00873696">
        <w:rPr>
          <w:rFonts w:ascii="Arial" w:hAnsi="Arial" w:cs="Arial"/>
          <w:b/>
          <w:sz w:val="22"/>
          <w:szCs w:val="22"/>
        </w:rPr>
        <w:t>:</w:t>
      </w:r>
    </w:p>
    <w:p w:rsidR="00EB124E" w:rsidRPr="00873696" w:rsidRDefault="00EB124E" w:rsidP="00EB124E">
      <w:pPr>
        <w:spacing w:before="100" w:beforeAutospacing="1" w:after="100" w:afterAutospacing="1"/>
        <w:ind w:left="1440" w:hanging="720"/>
        <w:jc w:val="both"/>
        <w:outlineLvl w:val="0"/>
        <w:rPr>
          <w:rFonts w:ascii="Arial" w:hAnsi="Arial" w:cs="Arial"/>
          <w:sz w:val="22"/>
          <w:szCs w:val="22"/>
        </w:rPr>
      </w:pPr>
      <w:r w:rsidRPr="00873696">
        <w:rPr>
          <w:rFonts w:ascii="Arial" w:hAnsi="Arial" w:cs="Arial"/>
          <w:sz w:val="22"/>
          <w:szCs w:val="22"/>
        </w:rPr>
        <w:t>(1)</w:t>
      </w:r>
      <w:r w:rsidRPr="00873696">
        <w:rPr>
          <w:rFonts w:ascii="Arial" w:hAnsi="Arial" w:cs="Arial"/>
          <w:sz w:val="22"/>
          <w:szCs w:val="22"/>
        </w:rPr>
        <w:tab/>
        <w:t>Whether refunds from the United Nations are based on actual strength in the form of soldiers and equipment instead of the serviceability of deployed equipment as was reported to the Portfolio Committee on Defence and Military Veterans</w:t>
      </w:r>
      <w:r w:rsidRPr="00873696">
        <w:rPr>
          <w:rFonts w:ascii="Arial" w:hAnsi="Arial" w:cs="Arial"/>
          <w:sz w:val="22"/>
          <w:szCs w:val="22"/>
        </w:rPr>
        <w:fldChar w:fldCharType="begin"/>
      </w:r>
      <w:r w:rsidRPr="00873696">
        <w:rPr>
          <w:rFonts w:ascii="Arial" w:hAnsi="Arial" w:cs="Arial"/>
          <w:sz w:val="22"/>
          <w:szCs w:val="22"/>
        </w:rPr>
        <w:instrText xml:space="preserve"> XE "</w:instrText>
      </w:r>
      <w:r w:rsidRPr="00873696">
        <w:rPr>
          <w:rFonts w:ascii="Arial" w:hAnsi="Arial" w:cs="Arial"/>
          <w:b/>
          <w:sz w:val="22"/>
          <w:szCs w:val="22"/>
        </w:rPr>
        <w:instrText>Defence and Military Veterans</w:instrText>
      </w:r>
      <w:r w:rsidRPr="00873696">
        <w:rPr>
          <w:rFonts w:ascii="Arial" w:hAnsi="Arial" w:cs="Arial"/>
          <w:sz w:val="22"/>
          <w:szCs w:val="22"/>
        </w:rPr>
        <w:instrText xml:space="preserve">" </w:instrText>
      </w:r>
      <w:r w:rsidRPr="00873696">
        <w:rPr>
          <w:rFonts w:ascii="Arial" w:hAnsi="Arial" w:cs="Arial"/>
          <w:sz w:val="22"/>
          <w:szCs w:val="22"/>
        </w:rPr>
        <w:fldChar w:fldCharType="end"/>
      </w:r>
      <w:r w:rsidRPr="00873696">
        <w:rPr>
          <w:rFonts w:ascii="Arial" w:hAnsi="Arial" w:cs="Arial"/>
          <w:sz w:val="22"/>
          <w:szCs w:val="22"/>
        </w:rPr>
        <w:t xml:space="preserve"> (details furnished);</w:t>
      </w:r>
    </w:p>
    <w:p w:rsidR="00873696" w:rsidRPr="006A3390" w:rsidRDefault="00EB124E" w:rsidP="006A3390">
      <w:pPr>
        <w:spacing w:before="100" w:beforeAutospacing="1" w:after="100" w:afterAutospacing="1"/>
        <w:ind w:left="1440" w:hanging="720"/>
        <w:jc w:val="both"/>
        <w:outlineLvl w:val="0"/>
        <w:rPr>
          <w:rFonts w:ascii="Arial" w:eastAsia="Calibri" w:hAnsi="Arial" w:cs="Arial"/>
          <w:sz w:val="22"/>
          <w:szCs w:val="22"/>
        </w:rPr>
      </w:pPr>
      <w:r w:rsidRPr="00873696">
        <w:rPr>
          <w:rFonts w:ascii="Arial" w:hAnsi="Arial" w:cs="Arial"/>
          <w:sz w:val="22"/>
          <w:szCs w:val="22"/>
        </w:rPr>
        <w:t>(2)</w:t>
      </w:r>
      <w:r w:rsidRPr="00873696">
        <w:rPr>
          <w:rFonts w:ascii="Arial" w:hAnsi="Arial" w:cs="Arial"/>
          <w:sz w:val="22"/>
          <w:szCs w:val="22"/>
        </w:rPr>
        <w:tab/>
        <w:t>whether she has found that the United Nations Organisation Stabilisation Mission in the Democratic Republic of the Congo  secured and/or ring-fenced a refund for her department or the SA National Defence Force; if so, what are the costs and comparable revenue amounts for the past five financial years?</w:t>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hAnsi="Arial" w:cs="Arial"/>
          <w:sz w:val="22"/>
          <w:szCs w:val="22"/>
        </w:rPr>
        <w:tab/>
      </w:r>
      <w:r w:rsidRPr="00873696">
        <w:rPr>
          <w:rFonts w:ascii="Arial" w:eastAsia="Calibri" w:hAnsi="Arial" w:cs="Arial"/>
          <w:sz w:val="22"/>
          <w:szCs w:val="22"/>
        </w:rPr>
        <w:t>NW1485E</w:t>
      </w:r>
    </w:p>
    <w:p w:rsidR="006A3390" w:rsidRPr="00294A1E" w:rsidRDefault="006A3390" w:rsidP="006A3390">
      <w:pPr>
        <w:rPr>
          <w:rFonts w:ascii="Arial" w:eastAsia="Calibri" w:hAnsi="Arial" w:cs="Arial"/>
        </w:rPr>
      </w:pPr>
      <w:r w:rsidRPr="00294A1E">
        <w:rPr>
          <w:rFonts w:ascii="Arial" w:eastAsia="Calibri" w:hAnsi="Arial" w:cs="Arial"/>
          <w:b/>
        </w:rPr>
        <w:t>REPLY</w:t>
      </w:r>
      <w:r w:rsidRPr="00294A1E">
        <w:rPr>
          <w:rFonts w:ascii="Arial" w:eastAsia="Calibri" w:hAnsi="Arial" w:cs="Arial"/>
        </w:rPr>
        <w:t>:</w:t>
      </w:r>
    </w:p>
    <w:p w:rsidR="006A3390" w:rsidRPr="00294A1E" w:rsidRDefault="006A3390" w:rsidP="006A3390">
      <w:pPr>
        <w:rPr>
          <w:rFonts w:ascii="Arial" w:eastAsia="Calibri" w:hAnsi="Arial" w:cs="Arial"/>
        </w:rPr>
      </w:pPr>
    </w:p>
    <w:p w:rsidR="006A3390" w:rsidRPr="006A3390" w:rsidRDefault="006A3390" w:rsidP="006A3390">
      <w:pPr>
        <w:numPr>
          <w:ilvl w:val="0"/>
          <w:numId w:val="43"/>
        </w:numPr>
        <w:ind w:left="0" w:firstLine="0"/>
        <w:jc w:val="both"/>
        <w:rPr>
          <w:rFonts w:ascii="Arial" w:eastAsia="Calibri" w:hAnsi="Arial" w:cs="Arial"/>
          <w:sz w:val="20"/>
          <w:szCs w:val="20"/>
        </w:rPr>
      </w:pPr>
      <w:r w:rsidRPr="006A3390">
        <w:rPr>
          <w:rFonts w:ascii="Arial" w:eastAsia="Calibri" w:hAnsi="Arial" w:cs="Arial"/>
          <w:sz w:val="20"/>
          <w:szCs w:val="20"/>
        </w:rPr>
        <w:t>The United Nations reimbursement is based on actual strength of personnel on the ground and the serviceability of equipment deployed. If a vehicle is not serviceable during Contingent Own Equipment (COE) inspection, a penalty is levelled against the vehicle and the would be drivers and supporting staff of the vehicle also. (For example serviceability of the vehicle can be questioned as a result of a missing mirror or fire extinguisher).</w:t>
      </w:r>
    </w:p>
    <w:p w:rsidR="006A3390" w:rsidRPr="006A3390" w:rsidRDefault="006A3390" w:rsidP="006A3390">
      <w:pPr>
        <w:jc w:val="both"/>
        <w:rPr>
          <w:rFonts w:ascii="Arial" w:eastAsia="Calibri" w:hAnsi="Arial" w:cs="Arial"/>
          <w:sz w:val="20"/>
          <w:szCs w:val="20"/>
        </w:rPr>
      </w:pPr>
    </w:p>
    <w:p w:rsidR="006A3390" w:rsidRPr="006A3390" w:rsidRDefault="006A3390" w:rsidP="006A3390">
      <w:pPr>
        <w:numPr>
          <w:ilvl w:val="0"/>
          <w:numId w:val="43"/>
        </w:numPr>
        <w:ind w:left="0" w:firstLine="0"/>
        <w:jc w:val="both"/>
        <w:rPr>
          <w:rFonts w:ascii="Arial" w:eastAsia="Calibri" w:hAnsi="Arial" w:cs="Arial"/>
          <w:sz w:val="20"/>
          <w:szCs w:val="20"/>
        </w:rPr>
      </w:pPr>
      <w:r w:rsidRPr="006A3390">
        <w:rPr>
          <w:rFonts w:ascii="Arial" w:eastAsia="Calibri" w:hAnsi="Arial" w:cs="Arial"/>
          <w:sz w:val="20"/>
          <w:szCs w:val="20"/>
        </w:rPr>
        <w:t>To date claims made to the United Nations amount to RM840 that includes flying hours,  manpower and amunitionThe following depicts the comparable re venue amounts for the past five financial years:</w:t>
      </w:r>
    </w:p>
    <w:p w:rsidR="006A3390" w:rsidRPr="006A3390" w:rsidRDefault="006A3390" w:rsidP="006A3390">
      <w:pPr>
        <w:pStyle w:val="ListParagraph"/>
        <w:rPr>
          <w:rFonts w:ascii="Arial" w:hAnsi="Arial" w:cs="Arial"/>
          <w:sz w:val="20"/>
          <w:szCs w:val="20"/>
        </w:rPr>
      </w:pPr>
    </w:p>
    <w:tbl>
      <w:tblPr>
        <w:tblStyle w:val="TableGrid"/>
        <w:tblW w:w="0" w:type="auto"/>
        <w:tblInd w:w="108" w:type="dxa"/>
        <w:tblLook w:val="04A0" w:firstRow="1" w:lastRow="0" w:firstColumn="1" w:lastColumn="0" w:noHBand="0" w:noVBand="1"/>
      </w:tblPr>
      <w:tblGrid>
        <w:gridCol w:w="1530"/>
        <w:gridCol w:w="1620"/>
        <w:gridCol w:w="2250"/>
        <w:gridCol w:w="2610"/>
      </w:tblGrid>
      <w:tr w:rsidR="006A3390" w:rsidRPr="006A3390" w:rsidTr="00046B20">
        <w:tc>
          <w:tcPr>
            <w:tcW w:w="1530" w:type="dxa"/>
          </w:tcPr>
          <w:p w:rsidR="006A3390" w:rsidRPr="006A3390" w:rsidRDefault="006A3390" w:rsidP="00046B20">
            <w:pPr>
              <w:pStyle w:val="ListParagraph"/>
              <w:ind w:left="-720"/>
              <w:jc w:val="center"/>
              <w:rPr>
                <w:rFonts w:ascii="Arial" w:hAnsi="Arial" w:cs="Arial"/>
                <w:b/>
                <w:sz w:val="20"/>
                <w:szCs w:val="20"/>
              </w:rPr>
            </w:pPr>
            <w:r w:rsidRPr="006A3390">
              <w:rPr>
                <w:rFonts w:ascii="Arial" w:hAnsi="Arial" w:cs="Arial"/>
                <w:b/>
                <w:sz w:val="20"/>
                <w:szCs w:val="20"/>
              </w:rPr>
              <w:t>Ser No</w:t>
            </w:r>
          </w:p>
        </w:tc>
        <w:tc>
          <w:tcPr>
            <w:tcW w:w="162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Year</w:t>
            </w:r>
          </w:p>
        </w:tc>
        <w:tc>
          <w:tcPr>
            <w:tcW w:w="225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Paid</w:t>
            </w:r>
          </w:p>
        </w:tc>
        <w:tc>
          <w:tcPr>
            <w:tcW w:w="261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Refund</w:t>
            </w:r>
          </w:p>
        </w:tc>
      </w:tr>
      <w:tr w:rsidR="006A3390" w:rsidRPr="006A3390" w:rsidTr="00046B20">
        <w:trPr>
          <w:trHeight w:val="440"/>
        </w:trPr>
        <w:tc>
          <w:tcPr>
            <w:tcW w:w="153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a</w:t>
            </w:r>
          </w:p>
        </w:tc>
        <w:tc>
          <w:tcPr>
            <w:tcW w:w="162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b</w:t>
            </w:r>
          </w:p>
        </w:tc>
        <w:tc>
          <w:tcPr>
            <w:tcW w:w="225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c</w:t>
            </w:r>
          </w:p>
        </w:tc>
        <w:tc>
          <w:tcPr>
            <w:tcW w:w="2610" w:type="dxa"/>
          </w:tcPr>
          <w:p w:rsidR="006A3390" w:rsidRPr="006A3390" w:rsidRDefault="006A3390" w:rsidP="00046B20">
            <w:pPr>
              <w:pStyle w:val="ListParagraph"/>
              <w:ind w:left="0"/>
              <w:jc w:val="center"/>
              <w:rPr>
                <w:rFonts w:ascii="Arial" w:hAnsi="Arial" w:cs="Arial"/>
                <w:b/>
                <w:sz w:val="20"/>
                <w:szCs w:val="20"/>
              </w:rPr>
            </w:pPr>
            <w:r w:rsidRPr="006A3390">
              <w:rPr>
                <w:rFonts w:ascii="Arial" w:hAnsi="Arial" w:cs="Arial"/>
                <w:b/>
                <w:sz w:val="20"/>
                <w:szCs w:val="20"/>
              </w:rPr>
              <w:t>d</w:t>
            </w:r>
          </w:p>
        </w:tc>
      </w:tr>
      <w:tr w:rsidR="006A3390" w:rsidRPr="006A3390" w:rsidTr="00046B20">
        <w:trPr>
          <w:trHeight w:val="485"/>
        </w:trPr>
        <w:tc>
          <w:tcPr>
            <w:tcW w:w="153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01.</w:t>
            </w:r>
          </w:p>
        </w:tc>
        <w:tc>
          <w:tcPr>
            <w:tcW w:w="162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2014</w:t>
            </w:r>
          </w:p>
        </w:tc>
        <w:tc>
          <w:tcPr>
            <w:tcW w:w="225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1 155 767 612</w:t>
            </w:r>
          </w:p>
        </w:tc>
        <w:tc>
          <w:tcPr>
            <w:tcW w:w="261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356 088 658</w:t>
            </w:r>
          </w:p>
        </w:tc>
      </w:tr>
      <w:tr w:rsidR="006A3390" w:rsidRPr="006A3390" w:rsidTr="00046B20">
        <w:tc>
          <w:tcPr>
            <w:tcW w:w="153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02.</w:t>
            </w:r>
          </w:p>
        </w:tc>
        <w:tc>
          <w:tcPr>
            <w:tcW w:w="162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2015</w:t>
            </w:r>
          </w:p>
        </w:tc>
        <w:tc>
          <w:tcPr>
            <w:tcW w:w="225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1 035 291 166</w:t>
            </w:r>
          </w:p>
        </w:tc>
        <w:tc>
          <w:tcPr>
            <w:tcW w:w="261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451 096 017</w:t>
            </w:r>
          </w:p>
        </w:tc>
      </w:tr>
      <w:tr w:rsidR="006A3390" w:rsidRPr="006A3390" w:rsidTr="00046B20">
        <w:tc>
          <w:tcPr>
            <w:tcW w:w="153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03.</w:t>
            </w:r>
          </w:p>
        </w:tc>
        <w:tc>
          <w:tcPr>
            <w:tcW w:w="162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2016</w:t>
            </w:r>
          </w:p>
        </w:tc>
        <w:tc>
          <w:tcPr>
            <w:tcW w:w="225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985 927 629</w:t>
            </w:r>
          </w:p>
        </w:tc>
        <w:tc>
          <w:tcPr>
            <w:tcW w:w="261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887 227 546</w:t>
            </w:r>
          </w:p>
        </w:tc>
      </w:tr>
      <w:tr w:rsidR="006A3390" w:rsidRPr="006A3390" w:rsidTr="00046B20">
        <w:tc>
          <w:tcPr>
            <w:tcW w:w="153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04.</w:t>
            </w:r>
          </w:p>
        </w:tc>
        <w:tc>
          <w:tcPr>
            <w:tcW w:w="162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2017</w:t>
            </w:r>
          </w:p>
        </w:tc>
        <w:tc>
          <w:tcPr>
            <w:tcW w:w="225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886 945 063</w:t>
            </w:r>
          </w:p>
        </w:tc>
        <w:tc>
          <w:tcPr>
            <w:tcW w:w="261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509 547 709</w:t>
            </w:r>
          </w:p>
        </w:tc>
      </w:tr>
      <w:tr w:rsidR="006A3390" w:rsidRPr="006A3390" w:rsidTr="00046B20">
        <w:trPr>
          <w:trHeight w:val="692"/>
        </w:trPr>
        <w:tc>
          <w:tcPr>
            <w:tcW w:w="153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05.</w:t>
            </w:r>
          </w:p>
        </w:tc>
        <w:tc>
          <w:tcPr>
            <w:tcW w:w="162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2018</w:t>
            </w:r>
          </w:p>
        </w:tc>
        <w:tc>
          <w:tcPr>
            <w:tcW w:w="225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820 494 657</w:t>
            </w:r>
          </w:p>
        </w:tc>
        <w:tc>
          <w:tcPr>
            <w:tcW w:w="2610" w:type="dxa"/>
          </w:tcPr>
          <w:p w:rsidR="006A3390" w:rsidRPr="006A3390" w:rsidRDefault="006A3390" w:rsidP="00046B20">
            <w:pPr>
              <w:pStyle w:val="ListParagraph"/>
              <w:ind w:left="0"/>
              <w:rPr>
                <w:rFonts w:ascii="Arial" w:hAnsi="Arial" w:cs="Arial"/>
                <w:sz w:val="20"/>
                <w:szCs w:val="20"/>
              </w:rPr>
            </w:pPr>
            <w:r w:rsidRPr="006A3390">
              <w:rPr>
                <w:rFonts w:ascii="Arial" w:hAnsi="Arial" w:cs="Arial"/>
                <w:sz w:val="20"/>
                <w:szCs w:val="20"/>
              </w:rPr>
              <w:t>320 612 050</w:t>
            </w:r>
          </w:p>
          <w:p w:rsidR="006A3390" w:rsidRPr="006A3390" w:rsidRDefault="006A3390" w:rsidP="00046B20">
            <w:pPr>
              <w:pStyle w:val="ListParagraph"/>
              <w:ind w:left="0"/>
              <w:rPr>
                <w:rFonts w:ascii="Arial" w:hAnsi="Arial" w:cs="Arial"/>
                <w:sz w:val="20"/>
                <w:szCs w:val="20"/>
              </w:rPr>
            </w:pPr>
          </w:p>
        </w:tc>
      </w:tr>
    </w:tbl>
    <w:p w:rsidR="00C172D5" w:rsidRPr="006A3390" w:rsidRDefault="00C172D5" w:rsidP="006A3390">
      <w:pPr>
        <w:spacing w:before="100" w:beforeAutospacing="1" w:after="100" w:afterAutospacing="1"/>
        <w:jc w:val="both"/>
        <w:outlineLvl w:val="0"/>
        <w:rPr>
          <w:rFonts w:ascii="Arial" w:hAnsi="Arial" w:cs="Arial"/>
          <w:color w:val="000000"/>
          <w:sz w:val="20"/>
          <w:szCs w:val="20"/>
          <w:lang w:val="en-ZA" w:eastAsia="en-ZA"/>
        </w:rPr>
      </w:pPr>
    </w:p>
    <w:sectPr w:rsidR="00C172D5" w:rsidRPr="006A339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4E" w:rsidRDefault="0010364E">
      <w:r>
        <w:separator/>
      </w:r>
    </w:p>
  </w:endnote>
  <w:endnote w:type="continuationSeparator" w:id="0">
    <w:p w:rsidR="0010364E" w:rsidRDefault="0010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6A3390">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4E" w:rsidRDefault="0010364E">
      <w:r>
        <w:separator/>
      </w:r>
    </w:p>
  </w:footnote>
  <w:footnote w:type="continuationSeparator" w:id="0">
    <w:p w:rsidR="0010364E" w:rsidRDefault="0010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40"/>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B6CEF"/>
    <w:rsid w:val="000C42E7"/>
    <w:rsid w:val="000D58FF"/>
    <w:rsid w:val="0010364E"/>
    <w:rsid w:val="001061D7"/>
    <w:rsid w:val="00125369"/>
    <w:rsid w:val="00126531"/>
    <w:rsid w:val="00135D47"/>
    <w:rsid w:val="00136875"/>
    <w:rsid w:val="00146481"/>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3110"/>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29AD"/>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87DB4"/>
    <w:rsid w:val="0059608D"/>
    <w:rsid w:val="005E0EF3"/>
    <w:rsid w:val="005E3565"/>
    <w:rsid w:val="005E4702"/>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A3390"/>
    <w:rsid w:val="006B29DF"/>
    <w:rsid w:val="006B3A6E"/>
    <w:rsid w:val="006B5FA5"/>
    <w:rsid w:val="006C6099"/>
    <w:rsid w:val="006E3329"/>
    <w:rsid w:val="006E5281"/>
    <w:rsid w:val="006F1324"/>
    <w:rsid w:val="00700273"/>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10DA"/>
    <w:rsid w:val="007B5C2B"/>
    <w:rsid w:val="007C01AD"/>
    <w:rsid w:val="007C2F5B"/>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73696"/>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3EBC"/>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87766"/>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045F"/>
    <w:rsid w:val="00D5256D"/>
    <w:rsid w:val="00D56AA3"/>
    <w:rsid w:val="00D63040"/>
    <w:rsid w:val="00D804C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38A7"/>
    <w:rsid w:val="00E77D76"/>
    <w:rsid w:val="00E814A5"/>
    <w:rsid w:val="00E83788"/>
    <w:rsid w:val="00E929F4"/>
    <w:rsid w:val="00E96607"/>
    <w:rsid w:val="00EA6D25"/>
    <w:rsid w:val="00EA6E98"/>
    <w:rsid w:val="00EB124E"/>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44D-BED8-4CD7-A283-D334947D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2019-08-30T11:26:00Z</cp:lastPrinted>
  <dcterms:created xsi:type="dcterms:W3CDTF">2019-08-23T05:10:00Z</dcterms:created>
  <dcterms:modified xsi:type="dcterms:W3CDTF">2019-08-30T11:28:00Z</dcterms:modified>
</cp:coreProperties>
</file>