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F" w:rsidRPr="00A015CF" w:rsidRDefault="00A015CF" w:rsidP="00A015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15CF">
        <w:rPr>
          <w:rFonts w:ascii="Arial" w:hAnsi="Arial" w:cs="Arial"/>
          <w:b/>
          <w:sz w:val="20"/>
          <w:szCs w:val="20"/>
        </w:rPr>
        <w:t>National Assembly: 4669</w:t>
      </w:r>
      <w:r>
        <w:rPr>
          <w:rFonts w:ascii="Arial" w:hAnsi="Arial" w:cs="Arial"/>
          <w:b/>
          <w:sz w:val="20"/>
          <w:szCs w:val="20"/>
        </w:rPr>
        <w:br/>
      </w:r>
    </w:p>
    <w:p w:rsidR="006E500E" w:rsidRPr="00A015CF" w:rsidRDefault="00A015CF" w:rsidP="00A015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15CF">
        <w:rPr>
          <w:rFonts w:ascii="Arial" w:hAnsi="Arial" w:cs="Arial"/>
          <w:b/>
          <w:sz w:val="20"/>
          <w:szCs w:val="20"/>
        </w:rPr>
        <w:t xml:space="preserve">4669. Mr T M </w:t>
      </w:r>
      <w:proofErr w:type="spellStart"/>
      <w:r w:rsidRPr="00A015CF">
        <w:rPr>
          <w:rFonts w:ascii="Arial" w:hAnsi="Arial" w:cs="Arial"/>
          <w:b/>
          <w:sz w:val="20"/>
          <w:szCs w:val="20"/>
        </w:rPr>
        <w:t>Langa</w:t>
      </w:r>
      <w:proofErr w:type="spellEnd"/>
      <w:r w:rsidRPr="00A015CF">
        <w:rPr>
          <w:rFonts w:ascii="Arial" w:hAnsi="Arial" w:cs="Arial"/>
          <w:b/>
          <w:sz w:val="20"/>
          <w:szCs w:val="20"/>
        </w:rPr>
        <w:t xml:space="preserve"> (EFF) to ask the Minister of Mineral Resources and Energy:</w:t>
      </w:r>
      <w:r w:rsidRPr="00A015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015CF">
        <w:rPr>
          <w:rFonts w:ascii="Arial" w:hAnsi="Arial" w:cs="Arial"/>
          <w:sz w:val="20"/>
          <w:szCs w:val="20"/>
        </w:rPr>
        <w:t xml:space="preserve">(1) What is the total number of transaction advisors in his department;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015CF">
        <w:rPr>
          <w:rFonts w:ascii="Arial" w:hAnsi="Arial" w:cs="Arial"/>
          <w:sz w:val="20"/>
          <w:szCs w:val="20"/>
        </w:rPr>
        <w:t xml:space="preserve">(2) whether the Central Energy Fund forms part of the transaction deals; if not, what is the position in this regard; if so, what are the relevant details? NW5792E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015CF">
        <w:rPr>
          <w:rFonts w:ascii="Arial" w:hAnsi="Arial" w:cs="Arial"/>
          <w:b/>
          <w:sz w:val="20"/>
          <w:szCs w:val="20"/>
        </w:rPr>
        <w:t>Reply:</w:t>
      </w:r>
      <w:r w:rsidRPr="00A015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015CF">
        <w:rPr>
          <w:rFonts w:ascii="Arial" w:hAnsi="Arial" w:cs="Arial"/>
          <w:sz w:val="20"/>
          <w:szCs w:val="20"/>
        </w:rPr>
        <w:t xml:space="preserve">(1) None. The Department has not appointed any transaction advisors.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015CF">
        <w:rPr>
          <w:rFonts w:ascii="Arial" w:hAnsi="Arial" w:cs="Arial"/>
          <w:sz w:val="20"/>
          <w:szCs w:val="20"/>
        </w:rPr>
        <w:t>(2) No. The Department has not appointed any transaction advisors</w:t>
      </w:r>
    </w:p>
    <w:sectPr w:rsidR="006E500E" w:rsidRPr="00A015CF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5CF"/>
    <w:rsid w:val="006E500E"/>
    <w:rsid w:val="00A0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2023-05-23T09:42:00Z</dcterms:created>
  <dcterms:modified xsi:type="dcterms:W3CDTF">2023-05-23T09:44:00Z</dcterms:modified>
</cp:coreProperties>
</file>