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C44F17"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C44F17" w:rsidRDefault="00C44F17"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C20B86">
      <w:pPr>
        <w:spacing w:after="0" w:line="360" w:lineRule="auto"/>
        <w:ind w:left="720" w:hanging="720"/>
        <w:outlineLvl w:val="0"/>
        <w:rPr>
          <w:rFonts w:ascii="Arial" w:hAnsi="Arial" w:cs="Arial"/>
          <w:b/>
          <w:sz w:val="24"/>
          <w:szCs w:val="24"/>
        </w:rPr>
      </w:pPr>
    </w:p>
    <w:p w:rsidR="000D6045" w:rsidRPr="006F0A4D" w:rsidRDefault="000D6045" w:rsidP="000D6045">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sidRPr="000D6045">
        <w:rPr>
          <w:rFonts w:ascii="Arial" w:hAnsi="Arial" w:cs="Arial"/>
          <w:b/>
          <w:sz w:val="24"/>
          <w:szCs w:val="24"/>
          <w:lang w:val="en-GB"/>
        </w:rPr>
        <w:t xml:space="preserve">QUESTION NO. </w:t>
      </w:r>
      <w:r w:rsidR="00770704">
        <w:rPr>
          <w:rFonts w:ascii="Arial" w:hAnsi="Arial" w:cs="Arial"/>
          <w:b/>
          <w:noProof/>
          <w:sz w:val="24"/>
          <w:szCs w:val="24"/>
          <w:lang w:val="af-ZA"/>
        </w:rPr>
        <w:t>466</w:t>
      </w:r>
      <w:r w:rsidRPr="006F0A4D">
        <w:rPr>
          <w:rFonts w:ascii="Arial" w:hAnsi="Arial" w:cs="Arial"/>
          <w:b/>
          <w:sz w:val="24"/>
          <w:szCs w:val="24"/>
          <w:lang w:val="en-GB"/>
        </w:rPr>
        <w:tab/>
      </w:r>
    </w:p>
    <w:p w:rsidR="002368CB" w:rsidRDefault="00770704" w:rsidP="00455F97">
      <w:pPr>
        <w:spacing w:before="100" w:beforeAutospacing="1" w:after="100" w:afterAutospacing="1" w:line="240" w:lineRule="auto"/>
        <w:jc w:val="both"/>
        <w:rPr>
          <w:rFonts w:ascii="Arial" w:hAnsi="Arial" w:cs="Arial"/>
          <w:b/>
          <w:sz w:val="24"/>
          <w:szCs w:val="24"/>
        </w:rPr>
      </w:pPr>
      <w:r w:rsidRPr="00770704">
        <w:rPr>
          <w:rFonts w:ascii="Arial" w:hAnsi="Arial" w:cs="Arial"/>
          <w:b/>
          <w:sz w:val="24"/>
          <w:szCs w:val="24"/>
        </w:rPr>
        <w:t>Mr M J Cuthbert (DA) to ask the Minister of Trade, Industry and Competition:</w:t>
      </w:r>
      <w:r w:rsidR="002368CB" w:rsidRPr="002368CB">
        <w:rPr>
          <w:rFonts w:ascii="Arial" w:hAnsi="Arial" w:cs="Arial"/>
          <w:b/>
          <w:sz w:val="24"/>
          <w:szCs w:val="24"/>
        </w:rPr>
        <w:t xml:space="preserve"> </w:t>
      </w:r>
    </w:p>
    <w:p w:rsidR="00770704" w:rsidRPr="00770704" w:rsidRDefault="00770704" w:rsidP="00770704">
      <w:pPr>
        <w:spacing w:before="100" w:beforeAutospacing="1" w:after="100" w:afterAutospacing="1" w:line="276" w:lineRule="auto"/>
        <w:ind w:left="720" w:hanging="720"/>
        <w:jc w:val="both"/>
        <w:outlineLvl w:val="0"/>
        <w:rPr>
          <w:rFonts w:ascii="Arial" w:hAnsi="Arial" w:cs="Arial"/>
          <w:sz w:val="24"/>
          <w:szCs w:val="24"/>
        </w:rPr>
      </w:pPr>
      <w:r w:rsidRPr="00770704">
        <w:rPr>
          <w:rFonts w:ascii="Arial" w:hAnsi="Arial" w:cs="Arial"/>
          <w:sz w:val="24"/>
          <w:szCs w:val="24"/>
        </w:rPr>
        <w:t>(1)</w:t>
      </w:r>
      <w:r w:rsidRPr="00770704">
        <w:rPr>
          <w:rFonts w:ascii="Arial" w:hAnsi="Arial" w:cs="Arial"/>
          <w:sz w:val="24"/>
          <w:szCs w:val="24"/>
        </w:rPr>
        <w:tab/>
        <w:t xml:space="preserve">What total amount has the National Lotteries Commission (NLC) spent on (a) advertising placement and/or (b) media over the past 10 financial </w:t>
      </w:r>
      <w:proofErr w:type="gramStart"/>
      <w:r w:rsidRPr="00770704">
        <w:rPr>
          <w:rFonts w:ascii="Arial" w:hAnsi="Arial" w:cs="Arial"/>
          <w:sz w:val="24"/>
          <w:szCs w:val="24"/>
        </w:rPr>
        <w:t>years;</w:t>
      </w:r>
      <w:proofErr w:type="gramEnd"/>
    </w:p>
    <w:p w:rsidR="00770704" w:rsidRPr="00770704" w:rsidRDefault="00770704" w:rsidP="00770704">
      <w:pPr>
        <w:spacing w:before="100" w:beforeAutospacing="1" w:after="100" w:afterAutospacing="1" w:line="276" w:lineRule="auto"/>
        <w:ind w:left="720" w:hanging="720"/>
        <w:jc w:val="both"/>
        <w:outlineLvl w:val="0"/>
        <w:rPr>
          <w:rFonts w:ascii="Arial" w:hAnsi="Arial" w:cs="Arial"/>
          <w:sz w:val="24"/>
          <w:szCs w:val="24"/>
        </w:rPr>
      </w:pPr>
      <w:r w:rsidRPr="00770704">
        <w:rPr>
          <w:rFonts w:ascii="Arial" w:hAnsi="Arial" w:cs="Arial"/>
          <w:sz w:val="24"/>
          <w:szCs w:val="24"/>
        </w:rPr>
        <w:t>(2)</w:t>
      </w:r>
      <w:r w:rsidRPr="00770704">
        <w:rPr>
          <w:rFonts w:ascii="Arial" w:hAnsi="Arial" w:cs="Arial"/>
          <w:sz w:val="24"/>
          <w:szCs w:val="24"/>
        </w:rPr>
        <w:tab/>
        <w:t>what (a) are the names of the media houses and/or publications in which the NLC have purchased advertising placements and (b) relevant annual amounts were spent on each specified media house and/or publication over the specified time period;</w:t>
      </w:r>
    </w:p>
    <w:p w:rsidR="00770704" w:rsidRDefault="00770704" w:rsidP="00770704">
      <w:pPr>
        <w:spacing w:before="100" w:beforeAutospacing="1" w:after="100" w:afterAutospacing="1" w:line="276" w:lineRule="auto"/>
        <w:ind w:left="720" w:hanging="720"/>
        <w:jc w:val="both"/>
        <w:outlineLvl w:val="0"/>
        <w:rPr>
          <w:rFonts w:ascii="Arial" w:hAnsi="Arial" w:cs="Arial"/>
          <w:sz w:val="24"/>
          <w:szCs w:val="24"/>
        </w:rPr>
      </w:pPr>
      <w:r w:rsidRPr="00770704">
        <w:rPr>
          <w:rFonts w:ascii="Arial" w:hAnsi="Arial" w:cs="Arial"/>
          <w:sz w:val="24"/>
          <w:szCs w:val="24"/>
        </w:rPr>
        <w:t>(3)</w:t>
      </w:r>
      <w:r w:rsidRPr="00770704">
        <w:rPr>
          <w:rFonts w:ascii="Arial" w:hAnsi="Arial" w:cs="Arial"/>
          <w:sz w:val="24"/>
          <w:szCs w:val="24"/>
        </w:rPr>
        <w:tab/>
      </w:r>
      <w:proofErr w:type="gramStart"/>
      <w:r w:rsidRPr="00770704">
        <w:rPr>
          <w:rFonts w:ascii="Arial" w:hAnsi="Arial" w:cs="Arial"/>
          <w:sz w:val="24"/>
          <w:szCs w:val="24"/>
        </w:rPr>
        <w:t>what</w:t>
      </w:r>
      <w:proofErr w:type="gramEnd"/>
      <w:r w:rsidRPr="00770704">
        <w:rPr>
          <w:rFonts w:ascii="Arial" w:hAnsi="Arial" w:cs="Arial"/>
          <w:sz w:val="24"/>
          <w:szCs w:val="24"/>
        </w:rPr>
        <w:t xml:space="preserve"> was the NLC’s marketing budget in each financial year?NW522E</w:t>
      </w:r>
    </w:p>
    <w:p w:rsidR="00770704" w:rsidRDefault="00770704" w:rsidP="00770704">
      <w:pPr>
        <w:spacing w:before="100" w:beforeAutospacing="1" w:after="100" w:afterAutospacing="1" w:line="276" w:lineRule="auto"/>
        <w:ind w:left="720" w:hanging="720"/>
        <w:jc w:val="both"/>
        <w:outlineLvl w:val="0"/>
        <w:rPr>
          <w:rFonts w:ascii="Arial" w:hAnsi="Arial" w:cs="Arial"/>
          <w:sz w:val="24"/>
          <w:szCs w:val="24"/>
        </w:rPr>
      </w:pPr>
    </w:p>
    <w:p w:rsidR="00432417" w:rsidRDefault="00C44F17" w:rsidP="00770704">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C44F17" w:rsidRDefault="00C44F17" w:rsidP="00C44F17">
      <w:pPr>
        <w:spacing w:after="0" w:line="276" w:lineRule="auto"/>
        <w:jc w:val="both"/>
        <w:rPr>
          <w:rFonts w:ascii="Arial" w:eastAsia="Times New Roman" w:hAnsi="Arial" w:cs="Arial"/>
          <w:bCs/>
          <w:sz w:val="24"/>
          <w:szCs w:val="24"/>
          <w:lang w:val="en-US"/>
        </w:rPr>
      </w:pPr>
      <w:r w:rsidRPr="00DB0FB3">
        <w:rPr>
          <w:rFonts w:ascii="Arial" w:eastAsia="Times New Roman" w:hAnsi="Arial" w:cs="Arial"/>
          <w:bCs/>
          <w:sz w:val="24"/>
          <w:szCs w:val="24"/>
          <w:lang w:val="en-US"/>
        </w:rPr>
        <w:t xml:space="preserve">I have been furnished with a reply to the question submitted, by Ms </w:t>
      </w:r>
      <w:proofErr w:type="spellStart"/>
      <w:r w:rsidRPr="00DB0FB3">
        <w:rPr>
          <w:rFonts w:ascii="Arial" w:eastAsia="Times New Roman" w:hAnsi="Arial" w:cs="Arial"/>
          <w:bCs/>
          <w:sz w:val="24"/>
          <w:szCs w:val="24"/>
          <w:lang w:val="en-US"/>
        </w:rPr>
        <w:t>Thabang</w:t>
      </w:r>
      <w:proofErr w:type="spellEnd"/>
      <w:r w:rsidRPr="00DB0FB3">
        <w:rPr>
          <w:rFonts w:ascii="Arial" w:eastAsia="Times New Roman" w:hAnsi="Arial" w:cs="Arial"/>
          <w:bCs/>
          <w:sz w:val="24"/>
          <w:szCs w:val="24"/>
          <w:lang w:val="en-US"/>
        </w:rPr>
        <w:t xml:space="preserve"> </w:t>
      </w:r>
      <w:proofErr w:type="spellStart"/>
      <w:r w:rsidRPr="00DB0FB3">
        <w:rPr>
          <w:rFonts w:ascii="Arial" w:eastAsia="Times New Roman" w:hAnsi="Arial" w:cs="Arial"/>
          <w:bCs/>
          <w:sz w:val="24"/>
          <w:szCs w:val="24"/>
          <w:lang w:val="en-US"/>
        </w:rPr>
        <w:t>Mampane</w:t>
      </w:r>
      <w:proofErr w:type="spellEnd"/>
      <w:r w:rsidRPr="00DB0FB3">
        <w:rPr>
          <w:rFonts w:ascii="Arial" w:eastAsia="Times New Roman" w:hAnsi="Arial" w:cs="Arial"/>
          <w:bCs/>
          <w:sz w:val="24"/>
          <w:szCs w:val="24"/>
          <w:lang w:val="en-US"/>
        </w:rPr>
        <w:t>, Commissioner of the National Lotteries Commission</w:t>
      </w:r>
      <w:r>
        <w:rPr>
          <w:rFonts w:ascii="Arial" w:eastAsia="Times New Roman" w:hAnsi="Arial" w:cs="Arial"/>
          <w:bCs/>
          <w:sz w:val="24"/>
          <w:szCs w:val="24"/>
          <w:lang w:val="en-US"/>
        </w:rPr>
        <w:t>.</w:t>
      </w:r>
      <w:r w:rsidR="004E4923">
        <w:rPr>
          <w:rFonts w:ascii="Arial" w:eastAsia="Times New Roman" w:hAnsi="Arial" w:cs="Arial"/>
          <w:bCs/>
          <w:sz w:val="24"/>
          <w:szCs w:val="24"/>
          <w:lang w:val="en-US"/>
        </w:rPr>
        <w:t xml:space="preserve"> </w:t>
      </w:r>
    </w:p>
    <w:p w:rsidR="00C44F17" w:rsidRDefault="00C44F17" w:rsidP="00C44F17">
      <w:pPr>
        <w:spacing w:after="0" w:line="276" w:lineRule="auto"/>
        <w:jc w:val="both"/>
        <w:rPr>
          <w:rFonts w:ascii="Arial" w:eastAsia="Times New Roman" w:hAnsi="Arial" w:cs="Arial"/>
          <w:bCs/>
          <w:sz w:val="24"/>
          <w:szCs w:val="24"/>
          <w:lang w:val="en-US"/>
        </w:rPr>
      </w:pPr>
    </w:p>
    <w:p w:rsidR="00C44F17" w:rsidRDefault="00C44F17" w:rsidP="00C44F17">
      <w:pPr>
        <w:spacing w:after="0" w:line="276"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Ms </w:t>
      </w:r>
      <w:proofErr w:type="spellStart"/>
      <w:r>
        <w:rPr>
          <w:rFonts w:ascii="Arial" w:eastAsia="Times New Roman" w:hAnsi="Arial" w:cs="Arial"/>
          <w:bCs/>
          <w:sz w:val="24"/>
          <w:szCs w:val="24"/>
          <w:lang w:val="en-US"/>
        </w:rPr>
        <w:t>Mampane’s</w:t>
      </w:r>
      <w:proofErr w:type="spellEnd"/>
      <w:r>
        <w:rPr>
          <w:rFonts w:ascii="Arial" w:eastAsia="Times New Roman" w:hAnsi="Arial" w:cs="Arial"/>
          <w:bCs/>
          <w:sz w:val="24"/>
          <w:szCs w:val="24"/>
          <w:lang w:val="en-US"/>
        </w:rPr>
        <w:t xml:space="preserve"> reply is as follows: </w:t>
      </w:r>
    </w:p>
    <w:p w:rsidR="00C44F17" w:rsidRDefault="00C44F17" w:rsidP="00C44F17">
      <w:pPr>
        <w:spacing w:after="0" w:line="276" w:lineRule="auto"/>
        <w:jc w:val="both"/>
        <w:rPr>
          <w:rFonts w:ascii="Arial" w:eastAsia="Times New Roman" w:hAnsi="Arial" w:cs="Arial"/>
          <w:bCs/>
          <w:sz w:val="24"/>
          <w:szCs w:val="24"/>
          <w:lang w:val="en-US"/>
        </w:rPr>
      </w:pPr>
    </w:p>
    <w:p w:rsidR="004A7225" w:rsidRDefault="004A7225" w:rsidP="004A7225">
      <w:pPr>
        <w:pStyle w:val="ListParagraph"/>
        <w:numPr>
          <w:ilvl w:val="0"/>
          <w:numId w:val="39"/>
        </w:numPr>
        <w:spacing w:after="0" w:line="360" w:lineRule="auto"/>
        <w:ind w:hanging="720"/>
        <w:jc w:val="both"/>
        <w:rPr>
          <w:rFonts w:ascii="Arial" w:eastAsia="Times New Roman" w:hAnsi="Arial" w:cs="Arial"/>
          <w:sz w:val="24"/>
          <w:szCs w:val="24"/>
          <w:lang w:val="en-US"/>
        </w:rPr>
      </w:pPr>
      <w:r w:rsidRPr="004A7225">
        <w:rPr>
          <w:rFonts w:ascii="Arial" w:eastAsia="Times New Roman" w:hAnsi="Arial" w:cs="Arial"/>
          <w:sz w:val="24"/>
          <w:szCs w:val="24"/>
          <w:lang w:val="en-US"/>
        </w:rPr>
        <w:t>The NLC provides the content to the media houses and therefore advertising and media buying are packaged together. It is therefore not possible to identify individual amounts spent for advertising placement and media buying. The total amount spent in the various years for the advertisement placement and media buying is:</w:t>
      </w:r>
    </w:p>
    <w:p w:rsidR="004A7225" w:rsidRPr="004A7225" w:rsidRDefault="004A7225" w:rsidP="004A7225">
      <w:pPr>
        <w:pStyle w:val="ListParagraph"/>
        <w:spacing w:after="0" w:line="360" w:lineRule="auto"/>
        <w:jc w:val="both"/>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824"/>
        <w:gridCol w:w="851"/>
        <w:gridCol w:w="850"/>
        <w:gridCol w:w="851"/>
        <w:gridCol w:w="992"/>
        <w:gridCol w:w="992"/>
        <w:gridCol w:w="993"/>
        <w:gridCol w:w="1134"/>
        <w:gridCol w:w="992"/>
        <w:gridCol w:w="950"/>
      </w:tblGrid>
      <w:tr w:rsidR="004A7225" w:rsidRPr="004A7225" w:rsidTr="002413D3">
        <w:tc>
          <w:tcPr>
            <w:tcW w:w="985"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FY</w:t>
            </w:r>
          </w:p>
        </w:tc>
        <w:tc>
          <w:tcPr>
            <w:tcW w:w="824"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2011</w:t>
            </w:r>
          </w:p>
        </w:tc>
        <w:tc>
          <w:tcPr>
            <w:tcW w:w="851"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2012</w:t>
            </w:r>
          </w:p>
        </w:tc>
        <w:tc>
          <w:tcPr>
            <w:tcW w:w="850"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2013</w:t>
            </w:r>
          </w:p>
        </w:tc>
        <w:tc>
          <w:tcPr>
            <w:tcW w:w="851"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2014</w:t>
            </w:r>
          </w:p>
        </w:tc>
        <w:tc>
          <w:tcPr>
            <w:tcW w:w="992"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2015</w:t>
            </w:r>
          </w:p>
        </w:tc>
        <w:tc>
          <w:tcPr>
            <w:tcW w:w="992"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2016</w:t>
            </w:r>
          </w:p>
        </w:tc>
        <w:tc>
          <w:tcPr>
            <w:tcW w:w="993"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2017</w:t>
            </w:r>
          </w:p>
        </w:tc>
        <w:tc>
          <w:tcPr>
            <w:tcW w:w="1134"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2018</w:t>
            </w:r>
          </w:p>
        </w:tc>
        <w:tc>
          <w:tcPr>
            <w:tcW w:w="992"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2019</w:t>
            </w:r>
          </w:p>
        </w:tc>
        <w:tc>
          <w:tcPr>
            <w:tcW w:w="950" w:type="dxa"/>
            <w:shd w:val="clear" w:color="auto" w:fill="BFBFBF"/>
          </w:tcPr>
          <w:p w:rsidR="004A7225" w:rsidRPr="004A7225" w:rsidRDefault="004A7225" w:rsidP="004A7225">
            <w:pPr>
              <w:spacing w:after="0" w:line="360" w:lineRule="auto"/>
              <w:jc w:val="both"/>
              <w:rPr>
                <w:rFonts w:ascii="Arial" w:eastAsia="Times New Roman" w:hAnsi="Arial" w:cs="Arial"/>
                <w:b/>
                <w:lang w:val="en-US"/>
              </w:rPr>
            </w:pPr>
            <w:r w:rsidRPr="004A7225">
              <w:rPr>
                <w:rFonts w:ascii="Arial" w:eastAsia="Times New Roman" w:hAnsi="Arial" w:cs="Arial"/>
                <w:b/>
                <w:lang w:val="en-US"/>
              </w:rPr>
              <w:t>2020</w:t>
            </w:r>
          </w:p>
        </w:tc>
      </w:tr>
      <w:tr w:rsidR="004A7225" w:rsidRPr="004A7225" w:rsidTr="002413D3">
        <w:tc>
          <w:tcPr>
            <w:tcW w:w="985"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R’000</w:t>
            </w:r>
          </w:p>
        </w:tc>
        <w:tc>
          <w:tcPr>
            <w:tcW w:w="824"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965’</w:t>
            </w:r>
          </w:p>
        </w:tc>
        <w:tc>
          <w:tcPr>
            <w:tcW w:w="851"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676’</w:t>
            </w:r>
          </w:p>
        </w:tc>
        <w:tc>
          <w:tcPr>
            <w:tcW w:w="850"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2 181’</w:t>
            </w:r>
          </w:p>
        </w:tc>
        <w:tc>
          <w:tcPr>
            <w:tcW w:w="851"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8 039’</w:t>
            </w:r>
          </w:p>
        </w:tc>
        <w:tc>
          <w:tcPr>
            <w:tcW w:w="992"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9 610’</w:t>
            </w:r>
          </w:p>
        </w:tc>
        <w:tc>
          <w:tcPr>
            <w:tcW w:w="992"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23 017’</w:t>
            </w:r>
          </w:p>
        </w:tc>
        <w:tc>
          <w:tcPr>
            <w:tcW w:w="993"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5 396’</w:t>
            </w:r>
          </w:p>
        </w:tc>
        <w:tc>
          <w:tcPr>
            <w:tcW w:w="1134"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12 422’</w:t>
            </w:r>
          </w:p>
        </w:tc>
        <w:tc>
          <w:tcPr>
            <w:tcW w:w="992"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16 968’</w:t>
            </w:r>
          </w:p>
        </w:tc>
        <w:tc>
          <w:tcPr>
            <w:tcW w:w="950" w:type="dxa"/>
            <w:shd w:val="clear" w:color="auto" w:fill="auto"/>
          </w:tcPr>
          <w:p w:rsidR="004A7225" w:rsidRPr="004A7225" w:rsidRDefault="004A7225" w:rsidP="004A7225">
            <w:pPr>
              <w:spacing w:after="0" w:line="360" w:lineRule="auto"/>
              <w:jc w:val="both"/>
              <w:rPr>
                <w:rFonts w:ascii="Arial" w:eastAsia="Times New Roman" w:hAnsi="Arial" w:cs="Arial"/>
                <w:lang w:val="en-US"/>
              </w:rPr>
            </w:pPr>
            <w:r w:rsidRPr="004A7225">
              <w:rPr>
                <w:rFonts w:ascii="Arial" w:eastAsia="Times New Roman" w:hAnsi="Arial" w:cs="Arial"/>
                <w:lang w:val="en-US"/>
              </w:rPr>
              <w:t>28 337’</w:t>
            </w:r>
          </w:p>
        </w:tc>
      </w:tr>
    </w:tbl>
    <w:p w:rsidR="004A7225" w:rsidRDefault="004A7225" w:rsidP="00160B5E">
      <w:pPr>
        <w:spacing w:after="0" w:line="360" w:lineRule="auto"/>
        <w:ind w:left="851" w:hanging="851"/>
        <w:rPr>
          <w:rFonts w:ascii="Arial" w:hAnsi="Arial" w:cs="Arial"/>
          <w:bCs/>
          <w:sz w:val="24"/>
          <w:szCs w:val="24"/>
        </w:rPr>
      </w:pPr>
      <w:r>
        <w:rPr>
          <w:rFonts w:ascii="Arial" w:hAnsi="Arial" w:cs="Arial"/>
          <w:bCs/>
          <w:sz w:val="24"/>
          <w:szCs w:val="24"/>
        </w:rPr>
        <w:t xml:space="preserve"> </w:t>
      </w:r>
    </w:p>
    <w:p w:rsidR="004A7225" w:rsidRDefault="004A7225" w:rsidP="004A7225">
      <w:pPr>
        <w:pStyle w:val="ListParagraph"/>
        <w:numPr>
          <w:ilvl w:val="0"/>
          <w:numId w:val="39"/>
        </w:numPr>
        <w:spacing w:line="360" w:lineRule="auto"/>
        <w:ind w:hanging="578"/>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Pr="004A7225">
        <w:rPr>
          <w:rFonts w:ascii="Arial" w:eastAsia="Times New Roman" w:hAnsi="Arial" w:cs="Arial"/>
          <w:sz w:val="24"/>
          <w:szCs w:val="24"/>
          <w:lang w:val="en-US"/>
        </w:rPr>
        <w:t>NLC has used the following suppliers over the 10 years and the total related expenditure spent on each supplier specified in the below table. Annexure A has been attached which highlights the suppliers paid each year over the 10-year period and the related amount.</w:t>
      </w:r>
    </w:p>
    <w:p w:rsidR="004A7225" w:rsidRDefault="004A7225">
      <w:pPr>
        <w:spacing w:line="259" w:lineRule="auto"/>
        <w:rPr>
          <w:rFonts w:ascii="Arial" w:eastAsia="Times New Roman" w:hAnsi="Arial" w:cs="Arial"/>
          <w:sz w:val="24"/>
          <w:szCs w:val="24"/>
          <w:lang w:val="en-US"/>
        </w:rPr>
      </w:pPr>
      <w:r>
        <w:rPr>
          <w:rFonts w:ascii="Arial" w:eastAsia="Times New Roman" w:hAnsi="Arial" w:cs="Arial"/>
          <w:sz w:val="24"/>
          <w:szCs w:val="24"/>
          <w:lang w:val="en-US"/>
        </w:rPr>
        <w:br w:type="page"/>
      </w:r>
    </w:p>
    <w:p w:rsidR="004A7225" w:rsidRDefault="004A7225" w:rsidP="004A7225">
      <w:pPr>
        <w:spacing w:line="360" w:lineRule="auto"/>
        <w:jc w:val="both"/>
        <w:rPr>
          <w:rFonts w:ascii="Arial" w:eastAsia="Times New Roman" w:hAnsi="Arial" w:cs="Arial"/>
          <w:sz w:val="24"/>
          <w:szCs w:val="24"/>
          <w:lang w:val="en-US"/>
        </w:rPr>
      </w:pPr>
      <w:r w:rsidRPr="00C97264">
        <w:rPr>
          <w:noProof/>
          <w:lang w:eastAsia="en-ZA"/>
        </w:rPr>
        <w:lastRenderedPageBreak/>
        <w:drawing>
          <wp:inline distT="0" distB="0" distL="0" distR="0">
            <wp:extent cx="9607550" cy="556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07550" cy="5562600"/>
                    </a:xfrm>
                    <a:prstGeom prst="rect">
                      <a:avLst/>
                    </a:prstGeom>
                    <a:noFill/>
                    <a:ln>
                      <a:noFill/>
                    </a:ln>
                  </pic:spPr>
                </pic:pic>
              </a:graphicData>
            </a:graphic>
          </wp:inline>
        </w:drawing>
      </w:r>
    </w:p>
    <w:p w:rsidR="004A7225" w:rsidRDefault="004A7225">
      <w:pPr>
        <w:spacing w:line="259" w:lineRule="auto"/>
        <w:rPr>
          <w:rFonts w:ascii="Arial" w:eastAsia="Times New Roman" w:hAnsi="Arial" w:cs="Arial"/>
          <w:sz w:val="24"/>
          <w:szCs w:val="24"/>
          <w:lang w:val="en-US"/>
        </w:rPr>
      </w:pPr>
      <w:r>
        <w:rPr>
          <w:rFonts w:ascii="Arial" w:eastAsia="Times New Roman" w:hAnsi="Arial" w:cs="Arial"/>
          <w:sz w:val="24"/>
          <w:szCs w:val="24"/>
          <w:lang w:val="en-US"/>
        </w:rPr>
        <w:br w:type="page"/>
      </w:r>
      <w:r w:rsidRPr="00C97264">
        <w:rPr>
          <w:noProof/>
          <w:lang w:eastAsia="en-ZA"/>
        </w:rPr>
        <w:lastRenderedPageBreak/>
        <w:drawing>
          <wp:inline distT="0" distB="0" distL="0" distR="0">
            <wp:extent cx="9607550" cy="516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07550" cy="5168900"/>
                    </a:xfrm>
                    <a:prstGeom prst="rect">
                      <a:avLst/>
                    </a:prstGeom>
                    <a:noFill/>
                    <a:ln>
                      <a:noFill/>
                    </a:ln>
                  </pic:spPr>
                </pic:pic>
              </a:graphicData>
            </a:graphic>
          </wp:inline>
        </w:drawing>
      </w:r>
    </w:p>
    <w:p w:rsidR="004A7225" w:rsidRDefault="004A7225">
      <w:pPr>
        <w:spacing w:line="259" w:lineRule="auto"/>
        <w:rPr>
          <w:rFonts w:ascii="Arial" w:eastAsia="Times New Roman" w:hAnsi="Arial" w:cs="Arial"/>
          <w:sz w:val="24"/>
          <w:szCs w:val="24"/>
          <w:lang w:val="en-US"/>
        </w:rPr>
      </w:pPr>
      <w:r>
        <w:rPr>
          <w:rFonts w:ascii="Arial" w:eastAsia="Times New Roman" w:hAnsi="Arial" w:cs="Arial"/>
          <w:sz w:val="24"/>
          <w:szCs w:val="24"/>
          <w:lang w:val="en-US"/>
        </w:rPr>
        <w:br w:type="page"/>
      </w:r>
    </w:p>
    <w:p w:rsidR="004A7225" w:rsidRPr="004A7225" w:rsidRDefault="004A7225" w:rsidP="004A7225">
      <w:pPr>
        <w:spacing w:line="360" w:lineRule="auto"/>
        <w:jc w:val="both"/>
        <w:rPr>
          <w:rFonts w:ascii="Arial" w:eastAsia="Times New Roman" w:hAnsi="Arial" w:cs="Arial"/>
          <w:sz w:val="24"/>
          <w:szCs w:val="24"/>
          <w:lang w:val="en-US"/>
        </w:rPr>
      </w:pPr>
      <w:r w:rsidRPr="00C97264">
        <w:rPr>
          <w:noProof/>
          <w:lang w:eastAsia="en-ZA"/>
        </w:rPr>
        <w:lastRenderedPageBreak/>
        <w:drawing>
          <wp:inline distT="0" distB="0" distL="0" distR="0">
            <wp:extent cx="9607550" cy="490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07550" cy="4902200"/>
                    </a:xfrm>
                    <a:prstGeom prst="rect">
                      <a:avLst/>
                    </a:prstGeom>
                    <a:noFill/>
                    <a:ln>
                      <a:noFill/>
                    </a:ln>
                  </pic:spPr>
                </pic:pic>
              </a:graphicData>
            </a:graphic>
          </wp:inline>
        </w:drawing>
      </w:r>
    </w:p>
    <w:p w:rsidR="004A7225" w:rsidRDefault="004A7225">
      <w:pPr>
        <w:spacing w:line="259" w:lineRule="auto"/>
        <w:rPr>
          <w:rFonts w:ascii="Arial" w:hAnsi="Arial" w:cs="Arial"/>
          <w:bCs/>
          <w:sz w:val="24"/>
          <w:szCs w:val="24"/>
          <w:highlight w:val="lightGray"/>
        </w:rPr>
      </w:pPr>
      <w:r>
        <w:rPr>
          <w:rFonts w:ascii="Arial" w:hAnsi="Arial" w:cs="Arial"/>
          <w:bCs/>
          <w:sz w:val="24"/>
          <w:szCs w:val="24"/>
          <w:highlight w:val="lightGray"/>
        </w:rPr>
        <w:br w:type="page"/>
      </w:r>
    </w:p>
    <w:p w:rsidR="00160B5E" w:rsidRPr="004A7225" w:rsidRDefault="00160B5E" w:rsidP="004A7225">
      <w:pPr>
        <w:pStyle w:val="ListParagraph"/>
        <w:numPr>
          <w:ilvl w:val="0"/>
          <w:numId w:val="39"/>
        </w:numPr>
        <w:spacing w:after="0" w:line="360" w:lineRule="auto"/>
        <w:rPr>
          <w:rFonts w:ascii="Arial" w:hAnsi="Arial" w:cs="Arial"/>
          <w:bCs/>
          <w:sz w:val="24"/>
          <w:szCs w:val="24"/>
        </w:rPr>
      </w:pPr>
    </w:p>
    <w:p w:rsidR="00AD72FB" w:rsidRDefault="00AD72FB" w:rsidP="006B606B">
      <w:pPr>
        <w:spacing w:after="0" w:line="360" w:lineRule="auto"/>
        <w:rPr>
          <w:rFonts w:ascii="Arial" w:hAnsi="Arial" w:cs="Arial"/>
          <w:bCs/>
          <w:sz w:val="24"/>
          <w:szCs w:val="24"/>
        </w:rPr>
      </w:pPr>
    </w:p>
    <w:tbl>
      <w:tblPr>
        <w:tblW w:w="10490" w:type="dxa"/>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750"/>
        <w:gridCol w:w="810"/>
        <w:gridCol w:w="861"/>
        <w:gridCol w:w="1132"/>
        <w:gridCol w:w="1002"/>
        <w:gridCol w:w="974"/>
        <w:gridCol w:w="993"/>
        <w:gridCol w:w="992"/>
        <w:gridCol w:w="992"/>
        <w:gridCol w:w="992"/>
      </w:tblGrid>
      <w:tr w:rsidR="00AD72FB" w:rsidRPr="00AD72FB" w:rsidTr="004A7225">
        <w:tc>
          <w:tcPr>
            <w:tcW w:w="992"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FY</w:t>
            </w:r>
          </w:p>
        </w:tc>
        <w:tc>
          <w:tcPr>
            <w:tcW w:w="750"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2011</w:t>
            </w:r>
          </w:p>
        </w:tc>
        <w:tc>
          <w:tcPr>
            <w:tcW w:w="810"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2012</w:t>
            </w:r>
          </w:p>
        </w:tc>
        <w:tc>
          <w:tcPr>
            <w:tcW w:w="861"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2013</w:t>
            </w:r>
          </w:p>
        </w:tc>
        <w:tc>
          <w:tcPr>
            <w:tcW w:w="1132"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2014</w:t>
            </w:r>
          </w:p>
        </w:tc>
        <w:tc>
          <w:tcPr>
            <w:tcW w:w="1002"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2015</w:t>
            </w:r>
          </w:p>
        </w:tc>
        <w:tc>
          <w:tcPr>
            <w:tcW w:w="974"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2016</w:t>
            </w:r>
          </w:p>
        </w:tc>
        <w:tc>
          <w:tcPr>
            <w:tcW w:w="993"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2017</w:t>
            </w:r>
          </w:p>
        </w:tc>
        <w:tc>
          <w:tcPr>
            <w:tcW w:w="992"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2018</w:t>
            </w:r>
          </w:p>
        </w:tc>
        <w:tc>
          <w:tcPr>
            <w:tcW w:w="992"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2019</w:t>
            </w:r>
          </w:p>
        </w:tc>
        <w:tc>
          <w:tcPr>
            <w:tcW w:w="992" w:type="dxa"/>
            <w:shd w:val="clear" w:color="auto" w:fill="BFBFBF"/>
          </w:tcPr>
          <w:p w:rsidR="00AD72FB" w:rsidRPr="00AD72FB" w:rsidRDefault="00AD72FB" w:rsidP="00AD72FB">
            <w:pPr>
              <w:spacing w:after="0" w:line="360" w:lineRule="auto"/>
              <w:rPr>
                <w:rFonts w:ascii="Arial" w:hAnsi="Arial" w:cs="Arial"/>
                <w:b/>
                <w:bCs/>
                <w:sz w:val="24"/>
                <w:szCs w:val="24"/>
                <w:lang w:val="en-US"/>
              </w:rPr>
            </w:pPr>
            <w:r w:rsidRPr="00AD72FB">
              <w:rPr>
                <w:rFonts w:ascii="Arial" w:hAnsi="Arial" w:cs="Arial"/>
                <w:b/>
                <w:bCs/>
                <w:sz w:val="24"/>
                <w:szCs w:val="24"/>
                <w:lang w:val="en-US"/>
              </w:rPr>
              <w:t>2020</w:t>
            </w:r>
          </w:p>
        </w:tc>
      </w:tr>
      <w:tr w:rsidR="00AD72FB" w:rsidRPr="00AD72FB" w:rsidTr="004A7225">
        <w:tc>
          <w:tcPr>
            <w:tcW w:w="992" w:type="dxa"/>
            <w:shd w:val="clear" w:color="auto" w:fill="auto"/>
          </w:tcPr>
          <w:p w:rsidR="00AD72FB" w:rsidRPr="00AD72FB" w:rsidRDefault="00AD72FB" w:rsidP="00AD72FB">
            <w:pPr>
              <w:spacing w:after="0" w:line="360" w:lineRule="auto"/>
              <w:rPr>
                <w:rFonts w:ascii="Arial" w:hAnsi="Arial" w:cs="Arial"/>
                <w:bCs/>
                <w:sz w:val="24"/>
                <w:szCs w:val="24"/>
                <w:lang w:val="en-US"/>
              </w:rPr>
            </w:pPr>
            <w:r w:rsidRPr="00AD72FB">
              <w:rPr>
                <w:rFonts w:ascii="Arial" w:hAnsi="Arial" w:cs="Arial"/>
                <w:bCs/>
                <w:sz w:val="24"/>
                <w:szCs w:val="24"/>
                <w:lang w:val="en-US"/>
              </w:rPr>
              <w:t>R’000</w:t>
            </w:r>
          </w:p>
        </w:tc>
        <w:tc>
          <w:tcPr>
            <w:tcW w:w="2421" w:type="dxa"/>
            <w:gridSpan w:val="3"/>
            <w:shd w:val="clear" w:color="auto" w:fill="auto"/>
          </w:tcPr>
          <w:p w:rsidR="00AD72FB" w:rsidRPr="00AD72FB" w:rsidRDefault="00AD72FB" w:rsidP="00AD72FB">
            <w:pPr>
              <w:spacing w:after="0" w:line="360" w:lineRule="auto"/>
              <w:rPr>
                <w:rFonts w:ascii="Arial" w:hAnsi="Arial" w:cs="Arial"/>
                <w:bCs/>
                <w:lang w:val="en-US"/>
              </w:rPr>
            </w:pPr>
            <w:r w:rsidRPr="00AD72FB">
              <w:rPr>
                <w:rFonts w:ascii="Arial" w:hAnsi="Arial" w:cs="Arial"/>
                <w:bCs/>
                <w:lang w:val="en-US"/>
              </w:rPr>
              <w:t>Information unavailable</w:t>
            </w:r>
          </w:p>
        </w:tc>
        <w:tc>
          <w:tcPr>
            <w:tcW w:w="1132" w:type="dxa"/>
            <w:shd w:val="clear" w:color="auto" w:fill="auto"/>
          </w:tcPr>
          <w:p w:rsidR="00AD72FB" w:rsidRPr="00AD72FB" w:rsidRDefault="00AD72FB" w:rsidP="00AD72FB">
            <w:pPr>
              <w:spacing w:after="0" w:line="360" w:lineRule="auto"/>
              <w:rPr>
                <w:rFonts w:ascii="Arial" w:hAnsi="Arial" w:cs="Arial"/>
                <w:bCs/>
                <w:lang w:val="en-US"/>
              </w:rPr>
            </w:pPr>
            <w:r w:rsidRPr="00AD72FB">
              <w:rPr>
                <w:rFonts w:ascii="Arial" w:hAnsi="Arial" w:cs="Arial"/>
                <w:bCs/>
                <w:lang w:val="en-US"/>
              </w:rPr>
              <w:t>31 819’</w:t>
            </w:r>
          </w:p>
        </w:tc>
        <w:tc>
          <w:tcPr>
            <w:tcW w:w="1002" w:type="dxa"/>
            <w:shd w:val="clear" w:color="auto" w:fill="auto"/>
          </w:tcPr>
          <w:p w:rsidR="00AD72FB" w:rsidRPr="00AD72FB" w:rsidRDefault="00AD72FB" w:rsidP="00AD72FB">
            <w:pPr>
              <w:spacing w:after="0" w:line="360" w:lineRule="auto"/>
              <w:rPr>
                <w:rFonts w:ascii="Arial" w:hAnsi="Arial" w:cs="Arial"/>
                <w:bCs/>
                <w:lang w:val="en-US"/>
              </w:rPr>
            </w:pPr>
            <w:r w:rsidRPr="00AD72FB">
              <w:rPr>
                <w:rFonts w:ascii="Arial" w:hAnsi="Arial" w:cs="Arial"/>
                <w:bCs/>
                <w:lang w:val="en-US"/>
              </w:rPr>
              <w:t>23 085’</w:t>
            </w:r>
          </w:p>
        </w:tc>
        <w:tc>
          <w:tcPr>
            <w:tcW w:w="974" w:type="dxa"/>
            <w:shd w:val="clear" w:color="auto" w:fill="auto"/>
          </w:tcPr>
          <w:p w:rsidR="00AD72FB" w:rsidRPr="00AD72FB" w:rsidRDefault="00AD72FB" w:rsidP="00AD72FB">
            <w:pPr>
              <w:spacing w:after="0" w:line="360" w:lineRule="auto"/>
              <w:rPr>
                <w:rFonts w:ascii="Arial" w:hAnsi="Arial" w:cs="Arial"/>
                <w:bCs/>
                <w:lang w:val="en-US"/>
              </w:rPr>
            </w:pPr>
            <w:r w:rsidRPr="00AD72FB">
              <w:rPr>
                <w:rFonts w:ascii="Arial" w:hAnsi="Arial" w:cs="Arial"/>
                <w:bCs/>
                <w:lang w:val="en-US"/>
              </w:rPr>
              <w:t>40 075’</w:t>
            </w:r>
          </w:p>
        </w:tc>
        <w:tc>
          <w:tcPr>
            <w:tcW w:w="993" w:type="dxa"/>
            <w:shd w:val="clear" w:color="auto" w:fill="auto"/>
          </w:tcPr>
          <w:p w:rsidR="00AD72FB" w:rsidRPr="00AD72FB" w:rsidRDefault="00AD72FB" w:rsidP="00AD72FB">
            <w:pPr>
              <w:spacing w:after="0" w:line="360" w:lineRule="auto"/>
              <w:rPr>
                <w:rFonts w:ascii="Arial" w:hAnsi="Arial" w:cs="Arial"/>
                <w:bCs/>
                <w:lang w:val="en-US"/>
              </w:rPr>
            </w:pPr>
            <w:r w:rsidRPr="00AD72FB">
              <w:rPr>
                <w:rFonts w:ascii="Arial" w:hAnsi="Arial" w:cs="Arial"/>
                <w:bCs/>
                <w:lang w:val="en-US"/>
              </w:rPr>
              <w:t>22 825’</w:t>
            </w:r>
          </w:p>
        </w:tc>
        <w:tc>
          <w:tcPr>
            <w:tcW w:w="992" w:type="dxa"/>
            <w:shd w:val="clear" w:color="auto" w:fill="auto"/>
          </w:tcPr>
          <w:p w:rsidR="00AD72FB" w:rsidRPr="00AD72FB" w:rsidRDefault="00AD72FB" w:rsidP="00AD72FB">
            <w:pPr>
              <w:spacing w:after="0" w:line="360" w:lineRule="auto"/>
              <w:rPr>
                <w:rFonts w:ascii="Arial" w:hAnsi="Arial" w:cs="Arial"/>
                <w:bCs/>
                <w:lang w:val="en-US"/>
              </w:rPr>
            </w:pPr>
            <w:r w:rsidRPr="00AD72FB">
              <w:rPr>
                <w:rFonts w:ascii="Arial" w:hAnsi="Arial" w:cs="Arial"/>
                <w:bCs/>
                <w:lang w:val="en-US"/>
              </w:rPr>
              <w:t>29 179’</w:t>
            </w:r>
          </w:p>
        </w:tc>
        <w:tc>
          <w:tcPr>
            <w:tcW w:w="992" w:type="dxa"/>
            <w:shd w:val="clear" w:color="auto" w:fill="auto"/>
          </w:tcPr>
          <w:p w:rsidR="00AD72FB" w:rsidRPr="00AD72FB" w:rsidRDefault="00AD72FB" w:rsidP="00AD72FB">
            <w:pPr>
              <w:spacing w:after="0" w:line="360" w:lineRule="auto"/>
              <w:rPr>
                <w:rFonts w:ascii="Arial" w:hAnsi="Arial" w:cs="Arial"/>
                <w:bCs/>
                <w:lang w:val="en-US"/>
              </w:rPr>
            </w:pPr>
            <w:r w:rsidRPr="00AD72FB">
              <w:rPr>
                <w:rFonts w:ascii="Arial" w:hAnsi="Arial" w:cs="Arial"/>
                <w:bCs/>
                <w:lang w:val="en-US"/>
              </w:rPr>
              <w:t>30 652’</w:t>
            </w:r>
          </w:p>
        </w:tc>
        <w:tc>
          <w:tcPr>
            <w:tcW w:w="992" w:type="dxa"/>
            <w:shd w:val="clear" w:color="auto" w:fill="auto"/>
          </w:tcPr>
          <w:p w:rsidR="00AD72FB" w:rsidRPr="00AD72FB" w:rsidRDefault="00AD72FB" w:rsidP="00AD72FB">
            <w:pPr>
              <w:spacing w:after="0" w:line="360" w:lineRule="auto"/>
              <w:rPr>
                <w:rFonts w:ascii="Arial" w:hAnsi="Arial" w:cs="Arial"/>
                <w:bCs/>
                <w:lang w:val="en-US"/>
              </w:rPr>
            </w:pPr>
            <w:r w:rsidRPr="00AD72FB">
              <w:rPr>
                <w:rFonts w:ascii="Arial" w:hAnsi="Arial" w:cs="Arial"/>
                <w:bCs/>
                <w:lang w:val="en-US"/>
              </w:rPr>
              <w:t>59 121’</w:t>
            </w:r>
          </w:p>
        </w:tc>
      </w:tr>
    </w:tbl>
    <w:p w:rsidR="00FA3326" w:rsidRDefault="00FA3326" w:rsidP="006B606B">
      <w:pPr>
        <w:spacing w:after="0" w:line="360" w:lineRule="auto"/>
        <w:rPr>
          <w:rFonts w:ascii="Arial" w:hAnsi="Arial" w:cs="Arial"/>
          <w:bCs/>
          <w:sz w:val="24"/>
          <w:szCs w:val="24"/>
        </w:rPr>
      </w:pPr>
    </w:p>
    <w:p w:rsidR="002150F1" w:rsidRDefault="002150F1" w:rsidP="0031644A">
      <w:pPr>
        <w:spacing w:after="0" w:line="360" w:lineRule="auto"/>
        <w:jc w:val="both"/>
        <w:rPr>
          <w:rFonts w:ascii="Arial" w:hAnsi="Arial" w:cs="Arial"/>
          <w:b/>
          <w:bCs/>
          <w:sz w:val="24"/>
          <w:szCs w:val="24"/>
        </w:rPr>
      </w:pPr>
    </w:p>
    <w:p w:rsidR="00C44F17" w:rsidRDefault="00C44F17" w:rsidP="0031644A">
      <w:pPr>
        <w:spacing w:after="0" w:line="360" w:lineRule="auto"/>
        <w:jc w:val="both"/>
        <w:rPr>
          <w:rFonts w:ascii="Arial" w:hAnsi="Arial" w:cs="Arial"/>
          <w:b/>
          <w:bCs/>
          <w:sz w:val="24"/>
          <w:szCs w:val="24"/>
        </w:rPr>
      </w:pPr>
    </w:p>
    <w:p w:rsidR="00C44F17" w:rsidRPr="00C07922" w:rsidRDefault="00C44F17" w:rsidP="0031644A">
      <w:pPr>
        <w:spacing w:after="0" w:line="360" w:lineRule="auto"/>
        <w:jc w:val="both"/>
        <w:rPr>
          <w:rFonts w:ascii="Arial" w:hAnsi="Arial" w:cs="Arial"/>
          <w:b/>
          <w:bCs/>
          <w:sz w:val="24"/>
          <w:szCs w:val="24"/>
        </w:rPr>
      </w:pPr>
      <w:bookmarkStart w:id="0" w:name="_GoBack"/>
      <w:bookmarkEnd w:id="0"/>
    </w:p>
    <w:p w:rsidR="0031644A" w:rsidRPr="00C07922" w:rsidRDefault="00691EB8" w:rsidP="00691EB8">
      <w:pPr>
        <w:spacing w:line="360" w:lineRule="auto"/>
        <w:jc w:val="center"/>
        <w:rPr>
          <w:rFonts w:ascii="Arial" w:eastAsia="Calibri" w:hAnsi="Arial" w:cs="Arial"/>
          <w:b/>
          <w:sz w:val="24"/>
          <w:szCs w:val="24"/>
        </w:rPr>
      </w:pPr>
      <w:r>
        <w:rPr>
          <w:rFonts w:ascii="Arial" w:hAnsi="Arial" w:cs="Arial"/>
          <w:b/>
          <w:bCs/>
          <w:sz w:val="24"/>
          <w:szCs w:val="24"/>
        </w:rPr>
        <w:t>-END-</w:t>
      </w:r>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4A7225">
      <w:headerReference w:type="default" r:id="rId12"/>
      <w:footerReference w:type="default" r:id="rId13"/>
      <w:pgSz w:w="16838" w:h="11906" w:orient="landscape"/>
      <w:pgMar w:top="1440" w:right="962" w:bottom="849" w:left="993"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B1" w:rsidRDefault="00841BB1" w:rsidP="006D054B">
      <w:pPr>
        <w:spacing w:after="0" w:line="240" w:lineRule="auto"/>
      </w:pPr>
      <w:r>
        <w:separator/>
      </w:r>
    </w:p>
  </w:endnote>
  <w:endnote w:type="continuationSeparator" w:id="0">
    <w:p w:rsidR="00841BB1" w:rsidRDefault="00841BB1"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swiss"/>
    <w:notTrueType/>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B73556">
        <w:pPr>
          <w:pStyle w:val="Footer"/>
          <w:jc w:val="center"/>
        </w:pPr>
        <w:r>
          <w:fldChar w:fldCharType="begin"/>
        </w:r>
        <w:r w:rsidR="00C90387">
          <w:instrText xml:space="preserve"> PAGE   \* MERGEFORMAT </w:instrText>
        </w:r>
        <w:r>
          <w:fldChar w:fldCharType="separate"/>
        </w:r>
        <w:r w:rsidR="008D3020">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97761C">
      <w:t>466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B1" w:rsidRDefault="00841BB1" w:rsidP="006D054B">
      <w:pPr>
        <w:spacing w:after="0" w:line="240" w:lineRule="auto"/>
      </w:pPr>
      <w:r>
        <w:separator/>
      </w:r>
    </w:p>
  </w:footnote>
  <w:footnote w:type="continuationSeparator" w:id="0">
    <w:p w:rsidR="00841BB1" w:rsidRDefault="00841BB1"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3A4656"/>
    <w:multiLevelType w:val="hybridMultilevel"/>
    <w:tmpl w:val="77E04DF8"/>
    <w:lvl w:ilvl="0" w:tplc="D2547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6433A5"/>
    <w:multiLevelType w:val="hybridMultilevel"/>
    <w:tmpl w:val="8E225134"/>
    <w:lvl w:ilvl="0" w:tplc="A4EA12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4"/>
  </w:num>
  <w:num w:numId="2">
    <w:abstractNumId w:val="34"/>
  </w:num>
  <w:num w:numId="3">
    <w:abstractNumId w:val="22"/>
  </w:num>
  <w:num w:numId="4">
    <w:abstractNumId w:val="1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7"/>
  </w:num>
  <w:num w:numId="8">
    <w:abstractNumId w:val="27"/>
  </w:num>
  <w:num w:numId="9">
    <w:abstractNumId w:val="21"/>
  </w:num>
  <w:num w:numId="10">
    <w:abstractNumId w:val="1"/>
  </w:num>
  <w:num w:numId="11">
    <w:abstractNumId w:val="17"/>
  </w:num>
  <w:num w:numId="12">
    <w:abstractNumId w:val="23"/>
  </w:num>
  <w:num w:numId="13">
    <w:abstractNumId w:val="32"/>
  </w:num>
  <w:num w:numId="14">
    <w:abstractNumId w:val="15"/>
  </w:num>
  <w:num w:numId="15">
    <w:abstractNumId w:val="4"/>
  </w:num>
  <w:num w:numId="16">
    <w:abstractNumId w:val="16"/>
  </w:num>
  <w:num w:numId="17">
    <w:abstractNumId w:val="25"/>
  </w:num>
  <w:num w:numId="18">
    <w:abstractNumId w:val="20"/>
  </w:num>
  <w:num w:numId="19">
    <w:abstractNumId w:val="24"/>
  </w:num>
  <w:num w:numId="20">
    <w:abstractNumId w:val="2"/>
  </w:num>
  <w:num w:numId="21">
    <w:abstractNumId w:val="30"/>
  </w:num>
  <w:num w:numId="22">
    <w:abstractNumId w:val="14"/>
  </w:num>
  <w:num w:numId="23">
    <w:abstractNumId w:val="18"/>
  </w:num>
  <w:num w:numId="24">
    <w:abstractNumId w:val="11"/>
  </w:num>
  <w:num w:numId="25">
    <w:abstractNumId w:val="12"/>
  </w:num>
  <w:num w:numId="26">
    <w:abstractNumId w:val="6"/>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33"/>
  </w:num>
  <w:num w:numId="32">
    <w:abstractNumId w:val="36"/>
  </w:num>
  <w:num w:numId="33">
    <w:abstractNumId w:val="29"/>
  </w:num>
  <w:num w:numId="34">
    <w:abstractNumId w:val="19"/>
  </w:num>
  <w:num w:numId="35">
    <w:abstractNumId w:val="9"/>
  </w:num>
  <w:num w:numId="36">
    <w:abstractNumId w:val="3"/>
  </w:num>
  <w:num w:numId="37">
    <w:abstractNumId w:val="26"/>
  </w:num>
  <w:num w:numId="38">
    <w:abstractNumId w:val="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F0"/>
    <w:rsid w:val="0003191E"/>
    <w:rsid w:val="00031D1F"/>
    <w:rsid w:val="00041805"/>
    <w:rsid w:val="00046D78"/>
    <w:rsid w:val="00057BE8"/>
    <w:rsid w:val="000629A5"/>
    <w:rsid w:val="0006536D"/>
    <w:rsid w:val="0006700B"/>
    <w:rsid w:val="00071E10"/>
    <w:rsid w:val="000B0517"/>
    <w:rsid w:val="000B2DB1"/>
    <w:rsid w:val="000C209D"/>
    <w:rsid w:val="000C4638"/>
    <w:rsid w:val="000D3BB4"/>
    <w:rsid w:val="000D6045"/>
    <w:rsid w:val="000D608B"/>
    <w:rsid w:val="000F730D"/>
    <w:rsid w:val="00115727"/>
    <w:rsid w:val="00130895"/>
    <w:rsid w:val="001442F0"/>
    <w:rsid w:val="00144C56"/>
    <w:rsid w:val="0016019E"/>
    <w:rsid w:val="001602E3"/>
    <w:rsid w:val="00160B5E"/>
    <w:rsid w:val="00172E12"/>
    <w:rsid w:val="00173512"/>
    <w:rsid w:val="00176749"/>
    <w:rsid w:val="00182352"/>
    <w:rsid w:val="001877AA"/>
    <w:rsid w:val="0019258D"/>
    <w:rsid w:val="00197D18"/>
    <w:rsid w:val="001A33E4"/>
    <w:rsid w:val="001E2965"/>
    <w:rsid w:val="00211DC4"/>
    <w:rsid w:val="00212F7F"/>
    <w:rsid w:val="002150F1"/>
    <w:rsid w:val="00226F0C"/>
    <w:rsid w:val="002306A7"/>
    <w:rsid w:val="00231380"/>
    <w:rsid w:val="002329A1"/>
    <w:rsid w:val="0023521C"/>
    <w:rsid w:val="002368CB"/>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04C05"/>
    <w:rsid w:val="0031644A"/>
    <w:rsid w:val="00331194"/>
    <w:rsid w:val="00332C21"/>
    <w:rsid w:val="00336052"/>
    <w:rsid w:val="00342A59"/>
    <w:rsid w:val="00347F22"/>
    <w:rsid w:val="00351BDA"/>
    <w:rsid w:val="00353870"/>
    <w:rsid w:val="00355021"/>
    <w:rsid w:val="00355851"/>
    <w:rsid w:val="003632E6"/>
    <w:rsid w:val="00377FD4"/>
    <w:rsid w:val="0038197F"/>
    <w:rsid w:val="00383F6C"/>
    <w:rsid w:val="003849F7"/>
    <w:rsid w:val="00385BF1"/>
    <w:rsid w:val="003A3726"/>
    <w:rsid w:val="003B2450"/>
    <w:rsid w:val="003C5DAD"/>
    <w:rsid w:val="003D6475"/>
    <w:rsid w:val="00402C36"/>
    <w:rsid w:val="00405055"/>
    <w:rsid w:val="00414059"/>
    <w:rsid w:val="00414E30"/>
    <w:rsid w:val="00431C51"/>
    <w:rsid w:val="00432417"/>
    <w:rsid w:val="004348E7"/>
    <w:rsid w:val="00437E8B"/>
    <w:rsid w:val="004469F4"/>
    <w:rsid w:val="00450499"/>
    <w:rsid w:val="00455F97"/>
    <w:rsid w:val="00461B7A"/>
    <w:rsid w:val="00484CF4"/>
    <w:rsid w:val="00490B5B"/>
    <w:rsid w:val="00493614"/>
    <w:rsid w:val="004A7225"/>
    <w:rsid w:val="004B2BE0"/>
    <w:rsid w:val="004B512B"/>
    <w:rsid w:val="004B6B46"/>
    <w:rsid w:val="004C432F"/>
    <w:rsid w:val="004D01ED"/>
    <w:rsid w:val="004D0F02"/>
    <w:rsid w:val="004E2E71"/>
    <w:rsid w:val="004E4923"/>
    <w:rsid w:val="004F21E0"/>
    <w:rsid w:val="004F26B0"/>
    <w:rsid w:val="004F29FF"/>
    <w:rsid w:val="004F429F"/>
    <w:rsid w:val="004F6E62"/>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B6A"/>
    <w:rsid w:val="005E30FD"/>
    <w:rsid w:val="00605B19"/>
    <w:rsid w:val="006212FC"/>
    <w:rsid w:val="00622A03"/>
    <w:rsid w:val="00630075"/>
    <w:rsid w:val="00640078"/>
    <w:rsid w:val="00640E3F"/>
    <w:rsid w:val="006420D0"/>
    <w:rsid w:val="006445D1"/>
    <w:rsid w:val="00645F45"/>
    <w:rsid w:val="006847A1"/>
    <w:rsid w:val="0068622F"/>
    <w:rsid w:val="00687C65"/>
    <w:rsid w:val="00691EB8"/>
    <w:rsid w:val="006932B2"/>
    <w:rsid w:val="00694349"/>
    <w:rsid w:val="006B0FE2"/>
    <w:rsid w:val="006B1132"/>
    <w:rsid w:val="006B606B"/>
    <w:rsid w:val="006C6F31"/>
    <w:rsid w:val="006D054B"/>
    <w:rsid w:val="006D0D2E"/>
    <w:rsid w:val="006E5CFB"/>
    <w:rsid w:val="006F0A4D"/>
    <w:rsid w:val="00707C88"/>
    <w:rsid w:val="0072078E"/>
    <w:rsid w:val="00746C90"/>
    <w:rsid w:val="007477F1"/>
    <w:rsid w:val="00755CC6"/>
    <w:rsid w:val="007574E5"/>
    <w:rsid w:val="00761225"/>
    <w:rsid w:val="00764318"/>
    <w:rsid w:val="00770704"/>
    <w:rsid w:val="0078637F"/>
    <w:rsid w:val="007874E8"/>
    <w:rsid w:val="00792751"/>
    <w:rsid w:val="007A39A1"/>
    <w:rsid w:val="007B14C3"/>
    <w:rsid w:val="007B412F"/>
    <w:rsid w:val="007B7DA8"/>
    <w:rsid w:val="007C0F9A"/>
    <w:rsid w:val="007D1596"/>
    <w:rsid w:val="007D1D58"/>
    <w:rsid w:val="007D2A4F"/>
    <w:rsid w:val="007F37C9"/>
    <w:rsid w:val="007F5435"/>
    <w:rsid w:val="00803209"/>
    <w:rsid w:val="008154B1"/>
    <w:rsid w:val="00833E81"/>
    <w:rsid w:val="00841350"/>
    <w:rsid w:val="00841BB1"/>
    <w:rsid w:val="008528EA"/>
    <w:rsid w:val="00853BDC"/>
    <w:rsid w:val="00855ABA"/>
    <w:rsid w:val="008634FA"/>
    <w:rsid w:val="00887787"/>
    <w:rsid w:val="00891DBB"/>
    <w:rsid w:val="00892467"/>
    <w:rsid w:val="00894F69"/>
    <w:rsid w:val="008A31A0"/>
    <w:rsid w:val="008A796E"/>
    <w:rsid w:val="008D06C0"/>
    <w:rsid w:val="008D3020"/>
    <w:rsid w:val="008F2BF5"/>
    <w:rsid w:val="009055DD"/>
    <w:rsid w:val="00911828"/>
    <w:rsid w:val="00916351"/>
    <w:rsid w:val="0093226B"/>
    <w:rsid w:val="00936D98"/>
    <w:rsid w:val="009433BE"/>
    <w:rsid w:val="0094388C"/>
    <w:rsid w:val="00962A53"/>
    <w:rsid w:val="009644E4"/>
    <w:rsid w:val="00970287"/>
    <w:rsid w:val="0097761C"/>
    <w:rsid w:val="009910BC"/>
    <w:rsid w:val="0099215A"/>
    <w:rsid w:val="009A0FF0"/>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69C1"/>
    <w:rsid w:val="00A81AFD"/>
    <w:rsid w:val="00A8329E"/>
    <w:rsid w:val="00A84F6F"/>
    <w:rsid w:val="00A922E1"/>
    <w:rsid w:val="00AB1371"/>
    <w:rsid w:val="00AB27A3"/>
    <w:rsid w:val="00AB6763"/>
    <w:rsid w:val="00AC2D13"/>
    <w:rsid w:val="00AC42AA"/>
    <w:rsid w:val="00AD1369"/>
    <w:rsid w:val="00AD5816"/>
    <w:rsid w:val="00AD5AE5"/>
    <w:rsid w:val="00AD72FB"/>
    <w:rsid w:val="00AD7FCF"/>
    <w:rsid w:val="00AE418E"/>
    <w:rsid w:val="00AE59AB"/>
    <w:rsid w:val="00AE642E"/>
    <w:rsid w:val="00AE6F53"/>
    <w:rsid w:val="00AF23A5"/>
    <w:rsid w:val="00AF2B6D"/>
    <w:rsid w:val="00AF736F"/>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3556"/>
    <w:rsid w:val="00B76B5D"/>
    <w:rsid w:val="00B77AE5"/>
    <w:rsid w:val="00B9157F"/>
    <w:rsid w:val="00BA3106"/>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20B86"/>
    <w:rsid w:val="00C23C1E"/>
    <w:rsid w:val="00C26949"/>
    <w:rsid w:val="00C32BB4"/>
    <w:rsid w:val="00C44F17"/>
    <w:rsid w:val="00C4613A"/>
    <w:rsid w:val="00C56886"/>
    <w:rsid w:val="00C60F52"/>
    <w:rsid w:val="00C71BF9"/>
    <w:rsid w:val="00C77734"/>
    <w:rsid w:val="00C84F7E"/>
    <w:rsid w:val="00C8544C"/>
    <w:rsid w:val="00C85DD8"/>
    <w:rsid w:val="00C87296"/>
    <w:rsid w:val="00C90387"/>
    <w:rsid w:val="00C923B0"/>
    <w:rsid w:val="00C9270E"/>
    <w:rsid w:val="00CC0725"/>
    <w:rsid w:val="00CC3AE1"/>
    <w:rsid w:val="00CC7044"/>
    <w:rsid w:val="00CD0132"/>
    <w:rsid w:val="00D02EE1"/>
    <w:rsid w:val="00D13244"/>
    <w:rsid w:val="00D3539F"/>
    <w:rsid w:val="00D37942"/>
    <w:rsid w:val="00D410C1"/>
    <w:rsid w:val="00D462DD"/>
    <w:rsid w:val="00D52868"/>
    <w:rsid w:val="00D66290"/>
    <w:rsid w:val="00D722D0"/>
    <w:rsid w:val="00D75E12"/>
    <w:rsid w:val="00D81223"/>
    <w:rsid w:val="00D906CA"/>
    <w:rsid w:val="00D93BDC"/>
    <w:rsid w:val="00D95D80"/>
    <w:rsid w:val="00D97348"/>
    <w:rsid w:val="00DA24F7"/>
    <w:rsid w:val="00DC0177"/>
    <w:rsid w:val="00DD063F"/>
    <w:rsid w:val="00DE45A5"/>
    <w:rsid w:val="00DE4BB9"/>
    <w:rsid w:val="00E44BAD"/>
    <w:rsid w:val="00E554C9"/>
    <w:rsid w:val="00E6096E"/>
    <w:rsid w:val="00E6241E"/>
    <w:rsid w:val="00E846E6"/>
    <w:rsid w:val="00E900D5"/>
    <w:rsid w:val="00EA2BA8"/>
    <w:rsid w:val="00EA5109"/>
    <w:rsid w:val="00EA51FF"/>
    <w:rsid w:val="00EA6E2E"/>
    <w:rsid w:val="00EB35C4"/>
    <w:rsid w:val="00EC7AAB"/>
    <w:rsid w:val="00ED39D7"/>
    <w:rsid w:val="00ED46F3"/>
    <w:rsid w:val="00EE05BB"/>
    <w:rsid w:val="00EE6E0C"/>
    <w:rsid w:val="00EF6351"/>
    <w:rsid w:val="00F04A3B"/>
    <w:rsid w:val="00F065DF"/>
    <w:rsid w:val="00F118BF"/>
    <w:rsid w:val="00F15796"/>
    <w:rsid w:val="00F20BA6"/>
    <w:rsid w:val="00F32232"/>
    <w:rsid w:val="00F3784D"/>
    <w:rsid w:val="00F51CB8"/>
    <w:rsid w:val="00F652B8"/>
    <w:rsid w:val="00F665B1"/>
    <w:rsid w:val="00F671DD"/>
    <w:rsid w:val="00F716B6"/>
    <w:rsid w:val="00F8074E"/>
    <w:rsid w:val="00F829BC"/>
    <w:rsid w:val="00F9020F"/>
    <w:rsid w:val="00FA3326"/>
    <w:rsid w:val="00FB765E"/>
    <w:rsid w:val="00FC3523"/>
    <w:rsid w:val="00FC3609"/>
    <w:rsid w:val="00FC502E"/>
    <w:rsid w:val="00FD0332"/>
    <w:rsid w:val="00FD1E8A"/>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982E-A125-4D23-9566-980ED07D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2021-03-26T09:52:00Z</dcterms:created>
  <dcterms:modified xsi:type="dcterms:W3CDTF">2021-03-26T09:52:00Z</dcterms:modified>
</cp:coreProperties>
</file>