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C1" w:rsidRPr="0034705D" w:rsidRDefault="00FD6DC1" w:rsidP="00FD6DC1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FD6DC1" w:rsidRPr="0034705D" w:rsidRDefault="00FD6DC1" w:rsidP="00FD6DC1">
      <w:pPr>
        <w:jc w:val="both"/>
        <w:rPr>
          <w:b/>
          <w:sz w:val="24"/>
          <w:u w:val="single"/>
        </w:rPr>
      </w:pPr>
    </w:p>
    <w:p w:rsidR="00FD6DC1" w:rsidRPr="0034705D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FD6DC1" w:rsidRPr="0034705D" w:rsidRDefault="00FD6DC1" w:rsidP="00FD6DC1">
      <w:pPr>
        <w:pStyle w:val="BodyText"/>
        <w:rPr>
          <w:b/>
          <w:bCs/>
          <w:sz w:val="24"/>
          <w:u w:val="single"/>
        </w:rPr>
      </w:pPr>
    </w:p>
    <w:p w:rsidR="00FD6DC1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4</w:t>
      </w:r>
      <w:r w:rsidR="002D3905">
        <w:rPr>
          <w:b/>
          <w:bCs/>
          <w:sz w:val="24"/>
          <w:u w:val="single"/>
        </w:rPr>
        <w:t>63</w:t>
      </w:r>
    </w:p>
    <w:p w:rsidR="00FD6DC1" w:rsidRDefault="00FD6DC1" w:rsidP="00FD6DC1">
      <w:pPr>
        <w:pStyle w:val="BodyText"/>
        <w:rPr>
          <w:b/>
          <w:bCs/>
          <w:sz w:val="24"/>
          <w:u w:val="single"/>
        </w:rPr>
      </w:pPr>
    </w:p>
    <w:p w:rsidR="00FD6DC1" w:rsidRPr="00934798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25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21</w:t>
      </w:r>
      <w:r w:rsidRPr="00934798">
        <w:rPr>
          <w:b/>
          <w:bCs/>
          <w:sz w:val="24"/>
          <w:u w:val="single"/>
        </w:rPr>
        <w:t xml:space="preserve">   </w:t>
      </w:r>
    </w:p>
    <w:p w:rsidR="00FD6DC1" w:rsidRDefault="00FD6DC1" w:rsidP="00FD6DC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02</w:t>
      </w:r>
      <w:r w:rsidRPr="00294557">
        <w:rPr>
          <w:b/>
          <w:bCs/>
          <w:sz w:val="24"/>
          <w:u w:val="single"/>
        </w:rPr>
        <w:t>)</w:t>
      </w:r>
    </w:p>
    <w:p w:rsidR="002D3905" w:rsidRPr="00B549BD" w:rsidRDefault="002D3905" w:rsidP="002D390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549BD">
        <w:rPr>
          <w:rFonts w:ascii="Arial" w:hAnsi="Arial" w:cs="Arial"/>
          <w:b/>
          <w:sz w:val="24"/>
          <w:szCs w:val="24"/>
          <w:u w:val="single"/>
          <w:lang w:val="en-US"/>
        </w:rPr>
        <w:t>Ms H Ismail (DA) to ask the Minister of Health</w:t>
      </w:r>
      <w:r w:rsidR="00684356" w:rsidRPr="00B549BD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B549BD">
        <w:rPr>
          <w:rFonts w:ascii="Arial" w:hAnsi="Arial" w:cs="Arial"/>
          <w:u w:val="single"/>
        </w:rPr>
        <w:instrText xml:space="preserve"> XE "</w:instrText>
      </w:r>
      <w:r w:rsidRPr="00B549BD">
        <w:rPr>
          <w:rFonts w:ascii="Arial" w:hAnsi="Arial" w:cs="Arial"/>
          <w:b/>
          <w:sz w:val="24"/>
          <w:szCs w:val="24"/>
          <w:u w:val="single"/>
          <w:lang w:val="en-GB"/>
        </w:rPr>
        <w:instrText>Health</w:instrText>
      </w:r>
      <w:r w:rsidRPr="00B549BD">
        <w:rPr>
          <w:rFonts w:ascii="Arial" w:hAnsi="Arial" w:cs="Arial"/>
          <w:u w:val="single"/>
        </w:rPr>
        <w:instrText xml:space="preserve">" </w:instrText>
      </w:r>
      <w:r w:rsidR="00684356" w:rsidRPr="00B549BD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</w:p>
    <w:p w:rsidR="002D3905" w:rsidRPr="002D3905" w:rsidRDefault="002D3905" w:rsidP="002D390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D3905">
        <w:rPr>
          <w:rFonts w:ascii="Arial" w:hAnsi="Arial" w:cs="Arial"/>
          <w:sz w:val="24"/>
          <w:szCs w:val="24"/>
        </w:rPr>
        <w:t>What is the (a) total number of persons who have committed suicide in (</w:t>
      </w:r>
      <w:proofErr w:type="spellStart"/>
      <w:r w:rsidRPr="002D3905">
        <w:rPr>
          <w:rFonts w:ascii="Arial" w:hAnsi="Arial" w:cs="Arial"/>
          <w:sz w:val="24"/>
          <w:szCs w:val="24"/>
        </w:rPr>
        <w:t>i</w:t>
      </w:r>
      <w:proofErr w:type="spellEnd"/>
      <w:r w:rsidRPr="002D3905">
        <w:rPr>
          <w:rFonts w:ascii="Arial" w:hAnsi="Arial" w:cs="Arial"/>
          <w:sz w:val="24"/>
          <w:szCs w:val="24"/>
        </w:rPr>
        <w:t>) 2018, (ii) 2019, (iii) 2020 and (iv) 2021, (b) total number of beds that are available nationally to cater for mentally ill patients and (c) breakdown of (</w:t>
      </w:r>
      <w:proofErr w:type="spellStart"/>
      <w:r w:rsidRPr="002D3905">
        <w:rPr>
          <w:rFonts w:ascii="Arial" w:hAnsi="Arial" w:cs="Arial"/>
          <w:sz w:val="24"/>
          <w:szCs w:val="24"/>
        </w:rPr>
        <w:t>i</w:t>
      </w:r>
      <w:proofErr w:type="spellEnd"/>
      <w:r w:rsidRPr="002D3905">
        <w:rPr>
          <w:rFonts w:ascii="Arial" w:hAnsi="Arial" w:cs="Arial"/>
          <w:sz w:val="24"/>
          <w:szCs w:val="24"/>
        </w:rPr>
        <w:t>) suicide and (ii) available beds in each province?</w:t>
      </w:r>
      <w:r w:rsidRPr="002D3905">
        <w:rPr>
          <w:rFonts w:ascii="Arial" w:hAnsi="Arial" w:cs="Arial"/>
          <w:sz w:val="24"/>
          <w:szCs w:val="24"/>
        </w:rPr>
        <w:tab/>
      </w:r>
      <w:r w:rsidRPr="002D3905">
        <w:rPr>
          <w:rFonts w:ascii="Arial" w:hAnsi="Arial" w:cs="Arial"/>
          <w:sz w:val="24"/>
          <w:szCs w:val="24"/>
        </w:rPr>
        <w:tab/>
      </w:r>
      <w:r w:rsidRPr="002D3905">
        <w:rPr>
          <w:rFonts w:ascii="Arial" w:hAnsi="Arial" w:cs="Arial"/>
          <w:sz w:val="24"/>
          <w:szCs w:val="24"/>
        </w:rPr>
        <w:tab/>
        <w:t xml:space="preserve"> </w:t>
      </w:r>
    </w:p>
    <w:p w:rsidR="002D3905" w:rsidRPr="002D3905" w:rsidRDefault="002D3905" w:rsidP="002D3905">
      <w:pPr>
        <w:spacing w:before="100" w:beforeAutospacing="1" w:after="100" w:afterAutospacing="1" w:line="240" w:lineRule="auto"/>
        <w:ind w:left="709"/>
        <w:jc w:val="right"/>
        <w:rPr>
          <w:rFonts w:ascii="Arial" w:hAnsi="Arial" w:cs="Arial"/>
          <w:sz w:val="20"/>
          <w:szCs w:val="20"/>
        </w:rPr>
      </w:pPr>
      <w:r w:rsidRPr="002D3905">
        <w:rPr>
          <w:rFonts w:ascii="Arial" w:hAnsi="Arial" w:cs="Arial"/>
          <w:sz w:val="20"/>
          <w:szCs w:val="20"/>
        </w:rPr>
        <w:t>NW528E</w:t>
      </w:r>
    </w:p>
    <w:p w:rsidR="002D3905" w:rsidRPr="002D3905" w:rsidRDefault="002D3905" w:rsidP="002D3905">
      <w:pPr>
        <w:jc w:val="both"/>
        <w:rPr>
          <w:rFonts w:ascii="Arial" w:hAnsi="Arial" w:cs="Arial"/>
          <w:b/>
          <w:u w:val="single"/>
          <w:lang w:val="en-GB"/>
        </w:rPr>
      </w:pPr>
      <w:r w:rsidRPr="002D3905">
        <w:rPr>
          <w:rFonts w:ascii="Arial" w:hAnsi="Arial" w:cs="Arial"/>
          <w:b/>
          <w:u w:val="single"/>
          <w:lang w:val="en-GB"/>
        </w:rPr>
        <w:t>REPLY:</w:t>
      </w:r>
    </w:p>
    <w:p w:rsidR="002D3905" w:rsidRPr="002D3905" w:rsidRDefault="002D3905" w:rsidP="002D3905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lang w:val="en-GB"/>
        </w:rPr>
      </w:pPr>
      <w:r w:rsidRPr="002D3905">
        <w:rPr>
          <w:rFonts w:ascii="Arial" w:hAnsi="Arial" w:cs="Arial"/>
        </w:rPr>
        <w:t xml:space="preserve">The Department of Health does not handle nor collect data of persons who have committed suicide. They are handled by the South African Police Service. </w:t>
      </w:r>
    </w:p>
    <w:p w:rsidR="002D3905" w:rsidRPr="002D3905" w:rsidRDefault="002D3905" w:rsidP="002D3905">
      <w:pPr>
        <w:pStyle w:val="ListParagraph"/>
        <w:ind w:left="1440"/>
        <w:rPr>
          <w:rFonts w:ascii="Arial" w:hAnsi="Arial" w:cs="Arial"/>
          <w:lang w:val="en-GB"/>
        </w:rPr>
      </w:pPr>
    </w:p>
    <w:p w:rsidR="002D3905" w:rsidRPr="002D3905" w:rsidRDefault="002D3905" w:rsidP="002D3905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lang w:val="en-GB"/>
        </w:rPr>
      </w:pPr>
      <w:r w:rsidRPr="002D3905">
        <w:rPr>
          <w:rFonts w:ascii="Arial" w:hAnsi="Arial" w:cs="Arial"/>
          <w:lang w:val="en-GB"/>
        </w:rPr>
        <w:t xml:space="preserve">There are 19 976 beds available nationally to cater for mentally ill patients. This consists of 14 246 beds in public sector and 5 730 in the private sector. </w:t>
      </w:r>
    </w:p>
    <w:p w:rsidR="002D3905" w:rsidRPr="002D3905" w:rsidRDefault="002D3905" w:rsidP="002D3905">
      <w:pPr>
        <w:rPr>
          <w:rFonts w:ascii="Arial" w:hAnsi="Arial" w:cs="Arial"/>
          <w:lang w:val="en-GB"/>
        </w:rPr>
      </w:pPr>
    </w:p>
    <w:p w:rsidR="002D3905" w:rsidRPr="002D3905" w:rsidRDefault="002D3905" w:rsidP="002D3905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lang w:val="en-GB"/>
        </w:rPr>
      </w:pPr>
      <w:r w:rsidRPr="002D3905">
        <w:rPr>
          <w:rFonts w:ascii="Arial" w:hAnsi="Arial" w:cs="Arial"/>
          <w:lang w:val="en-GB"/>
        </w:rPr>
        <w:t>(</w:t>
      </w:r>
      <w:proofErr w:type="spellStart"/>
      <w:r w:rsidRPr="002D3905">
        <w:rPr>
          <w:rFonts w:ascii="Arial" w:hAnsi="Arial" w:cs="Arial"/>
          <w:lang w:val="en-GB"/>
        </w:rPr>
        <w:t>i</w:t>
      </w:r>
      <w:proofErr w:type="spellEnd"/>
      <w:r w:rsidRPr="002D3905">
        <w:rPr>
          <w:rFonts w:ascii="Arial" w:hAnsi="Arial" w:cs="Arial"/>
          <w:lang w:val="en-GB"/>
        </w:rPr>
        <w:t xml:space="preserve">) </w:t>
      </w:r>
      <w:r w:rsidRPr="002D3905">
        <w:rPr>
          <w:rFonts w:ascii="Arial" w:hAnsi="Arial" w:cs="Arial"/>
        </w:rPr>
        <w:t xml:space="preserve">The Department of Health does not collect data on persons who have committed  </w:t>
      </w:r>
    </w:p>
    <w:p w:rsidR="002D3905" w:rsidRPr="002D3905" w:rsidRDefault="002D3905" w:rsidP="002D3905">
      <w:pPr>
        <w:pStyle w:val="ListParagraph"/>
        <w:ind w:left="567"/>
        <w:jc w:val="both"/>
        <w:rPr>
          <w:rFonts w:ascii="Arial" w:hAnsi="Arial" w:cs="Arial"/>
          <w:lang w:val="en-GB"/>
        </w:rPr>
      </w:pPr>
      <w:r w:rsidRPr="002D3905">
        <w:rPr>
          <w:rFonts w:ascii="Arial" w:hAnsi="Arial" w:cs="Arial"/>
        </w:rPr>
        <w:t xml:space="preserve">     </w:t>
      </w:r>
      <w:proofErr w:type="gramStart"/>
      <w:r w:rsidRPr="002D3905">
        <w:rPr>
          <w:rFonts w:ascii="Arial" w:hAnsi="Arial" w:cs="Arial"/>
        </w:rPr>
        <w:t>suicide</w:t>
      </w:r>
      <w:proofErr w:type="gramEnd"/>
      <w:r w:rsidRPr="002D3905">
        <w:rPr>
          <w:rFonts w:ascii="Arial" w:hAnsi="Arial" w:cs="Arial"/>
        </w:rPr>
        <w:t>.</w:t>
      </w:r>
    </w:p>
    <w:p w:rsidR="002D3905" w:rsidRPr="002D3905" w:rsidRDefault="002D3905" w:rsidP="002D3905">
      <w:pPr>
        <w:pStyle w:val="ListParagraph"/>
        <w:jc w:val="both"/>
        <w:rPr>
          <w:rFonts w:ascii="Arial" w:hAnsi="Arial" w:cs="Arial"/>
          <w:lang w:val="en-GB"/>
        </w:rPr>
      </w:pPr>
    </w:p>
    <w:p w:rsidR="002D3905" w:rsidRPr="002D3905" w:rsidRDefault="002D3905" w:rsidP="002D3905">
      <w:pPr>
        <w:pStyle w:val="ListParagraph"/>
        <w:ind w:left="567"/>
        <w:jc w:val="both"/>
        <w:rPr>
          <w:rFonts w:ascii="Arial" w:hAnsi="Arial" w:cs="Arial"/>
          <w:lang w:val="en-GB"/>
        </w:rPr>
      </w:pPr>
      <w:r w:rsidRPr="002D3905">
        <w:rPr>
          <w:rFonts w:ascii="Arial" w:hAnsi="Arial" w:cs="Arial"/>
          <w:lang w:val="en-GB"/>
        </w:rPr>
        <w:t xml:space="preserve">(ii) Beds available for mentally ill patients in the public and private sector in each  </w:t>
      </w:r>
    </w:p>
    <w:p w:rsidR="002D3905" w:rsidRPr="002D3905" w:rsidRDefault="002D3905" w:rsidP="002D3905">
      <w:pPr>
        <w:pStyle w:val="ListParagraph"/>
        <w:ind w:left="567"/>
        <w:jc w:val="both"/>
        <w:rPr>
          <w:rFonts w:ascii="Arial" w:hAnsi="Arial" w:cs="Arial"/>
          <w:lang w:val="en-GB"/>
        </w:rPr>
      </w:pPr>
      <w:r w:rsidRPr="002D3905">
        <w:rPr>
          <w:rFonts w:ascii="Arial" w:hAnsi="Arial" w:cs="Arial"/>
          <w:lang w:val="en-GB"/>
        </w:rPr>
        <w:t xml:space="preserve">      </w:t>
      </w:r>
      <w:proofErr w:type="gramStart"/>
      <w:r w:rsidRPr="002D3905">
        <w:rPr>
          <w:rFonts w:ascii="Arial" w:hAnsi="Arial" w:cs="Arial"/>
          <w:lang w:val="en-GB"/>
        </w:rPr>
        <w:t>province</w:t>
      </w:r>
      <w:proofErr w:type="gramEnd"/>
      <w:r w:rsidRPr="002D3905">
        <w:rPr>
          <w:rFonts w:ascii="Arial" w:hAnsi="Arial" w:cs="Arial"/>
          <w:lang w:val="en-GB"/>
        </w:rPr>
        <w:t xml:space="preserve"> are distributed as follows:</w:t>
      </w:r>
    </w:p>
    <w:p w:rsidR="002D3905" w:rsidRPr="002D3905" w:rsidRDefault="002D3905" w:rsidP="002D3905">
      <w:pPr>
        <w:pStyle w:val="ListParagraph"/>
        <w:ind w:left="567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340" w:type="dxa"/>
        <w:tblInd w:w="720" w:type="dxa"/>
        <w:tblLook w:val="04A0"/>
      </w:tblPr>
      <w:tblGrid>
        <w:gridCol w:w="2536"/>
        <w:gridCol w:w="3546"/>
        <w:gridCol w:w="1982"/>
        <w:gridCol w:w="1276"/>
      </w:tblGrid>
      <w:tr w:rsidR="002D3905" w:rsidRPr="002D3905" w:rsidTr="00B86E9E"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2D3905">
              <w:rPr>
                <w:rFonts w:ascii="Arial" w:hAnsi="Arial" w:cs="Arial"/>
                <w:b/>
                <w:lang w:val="en-GB"/>
              </w:rPr>
              <w:t>Province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2D3905">
              <w:rPr>
                <w:rFonts w:ascii="Arial" w:hAnsi="Arial" w:cs="Arial"/>
                <w:b/>
                <w:lang w:val="en-GB"/>
              </w:rPr>
              <w:t>Public Sector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2D3905">
              <w:rPr>
                <w:rFonts w:ascii="Arial" w:hAnsi="Arial" w:cs="Arial"/>
                <w:b/>
                <w:lang w:val="en-GB"/>
              </w:rPr>
              <w:t>Private Sector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2D3905" w:rsidRPr="002D3905" w:rsidTr="00B86E9E"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Eastern Cape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1 864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1 088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</w:rPr>
              <w:t>2 952</w:t>
            </w:r>
          </w:p>
        </w:tc>
      </w:tr>
      <w:tr w:rsidR="002D3905" w:rsidRPr="002D3905" w:rsidTr="00B86E9E"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Free State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920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298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</w:rPr>
              <w:t>1218</w:t>
            </w:r>
          </w:p>
        </w:tc>
      </w:tr>
      <w:tr w:rsidR="002D3905" w:rsidRPr="002D3905" w:rsidTr="00B86E9E"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Gauteng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2 547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2 787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</w:rPr>
              <w:t>5 334</w:t>
            </w:r>
          </w:p>
        </w:tc>
      </w:tr>
      <w:tr w:rsidR="002D3905" w:rsidRPr="002D3905" w:rsidTr="00B86E9E"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KwaZulu-Natal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3 200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385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</w:rPr>
              <w:t>3 585</w:t>
            </w:r>
          </w:p>
        </w:tc>
      </w:tr>
      <w:tr w:rsidR="002D3905" w:rsidRPr="002D3905" w:rsidTr="00B86E9E"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Limpopo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1 492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38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</w:rPr>
              <w:t>1 530</w:t>
            </w:r>
          </w:p>
        </w:tc>
      </w:tr>
      <w:tr w:rsidR="002D3905" w:rsidRPr="002D3905" w:rsidTr="00B86E9E"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Mpumalanga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258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</w:rPr>
              <w:t>258</w:t>
            </w:r>
          </w:p>
        </w:tc>
      </w:tr>
      <w:tr w:rsidR="002D3905" w:rsidRPr="002D3905" w:rsidTr="00B86E9E"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Northern Cape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344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74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</w:rPr>
              <w:t>418</w:t>
            </w:r>
          </w:p>
        </w:tc>
      </w:tr>
      <w:tr w:rsidR="002D3905" w:rsidRPr="002D3905" w:rsidTr="00B86E9E">
        <w:trPr>
          <w:trHeight w:val="350"/>
        </w:trPr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North West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1 256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186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</w:rPr>
              <w:t>1 442</w:t>
            </w:r>
          </w:p>
        </w:tc>
      </w:tr>
      <w:tr w:rsidR="002D3905" w:rsidRPr="002D3905" w:rsidTr="00B86E9E"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Western Cape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2 365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  <w:lang w:val="en-GB"/>
              </w:rPr>
              <w:t>874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2D3905">
              <w:rPr>
                <w:rFonts w:ascii="Arial" w:hAnsi="Arial" w:cs="Arial"/>
              </w:rPr>
              <w:t>3 239</w:t>
            </w:r>
          </w:p>
        </w:tc>
      </w:tr>
      <w:tr w:rsidR="002D3905" w:rsidRPr="002D3905" w:rsidTr="00B86E9E">
        <w:tc>
          <w:tcPr>
            <w:tcW w:w="253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2D3905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354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2D3905">
              <w:rPr>
                <w:rFonts w:ascii="Arial" w:hAnsi="Arial" w:cs="Arial"/>
                <w:b/>
                <w:lang w:val="en-GB"/>
              </w:rPr>
              <w:t>14 246</w:t>
            </w:r>
          </w:p>
        </w:tc>
        <w:tc>
          <w:tcPr>
            <w:tcW w:w="1982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2D3905">
              <w:rPr>
                <w:rFonts w:ascii="Arial" w:hAnsi="Arial" w:cs="Arial"/>
                <w:b/>
                <w:lang w:val="en-GB"/>
              </w:rPr>
              <w:t>5 730</w:t>
            </w:r>
          </w:p>
        </w:tc>
        <w:tc>
          <w:tcPr>
            <w:tcW w:w="1276" w:type="dxa"/>
          </w:tcPr>
          <w:p w:rsidR="002D3905" w:rsidRPr="002D3905" w:rsidRDefault="002D3905" w:rsidP="00B86E9E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2D3905">
              <w:rPr>
                <w:rFonts w:ascii="Arial" w:hAnsi="Arial" w:cs="Arial"/>
                <w:b/>
              </w:rPr>
              <w:t>19 976</w:t>
            </w:r>
          </w:p>
        </w:tc>
      </w:tr>
    </w:tbl>
    <w:p w:rsidR="002D3905" w:rsidRPr="002D3905" w:rsidRDefault="002D3905" w:rsidP="002D3905">
      <w:pPr>
        <w:pStyle w:val="ListParagraph"/>
        <w:jc w:val="both"/>
        <w:rPr>
          <w:rFonts w:ascii="Arial" w:hAnsi="Arial" w:cs="Arial"/>
          <w:lang w:val="en-GB"/>
        </w:rPr>
      </w:pPr>
    </w:p>
    <w:p w:rsidR="00FD6DC1" w:rsidRPr="002D3905" w:rsidRDefault="002D3905" w:rsidP="002D3905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p w:rsidR="00E84016" w:rsidRPr="002D3905" w:rsidRDefault="002E7B31">
      <w:pPr>
        <w:rPr>
          <w:rFonts w:ascii="Arial" w:hAnsi="Arial" w:cs="Arial"/>
        </w:rPr>
      </w:pPr>
    </w:p>
    <w:sectPr w:rsidR="00E84016" w:rsidRPr="002D3905" w:rsidSect="00B64BF5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908"/>
    <w:multiLevelType w:val="hybridMultilevel"/>
    <w:tmpl w:val="ECF89D54"/>
    <w:lvl w:ilvl="0" w:tplc="0E820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276A4"/>
    <w:multiLevelType w:val="hybridMultilevel"/>
    <w:tmpl w:val="835E2A40"/>
    <w:lvl w:ilvl="0" w:tplc="211C7CA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E5759"/>
    <w:multiLevelType w:val="hybridMultilevel"/>
    <w:tmpl w:val="ABD23F8C"/>
    <w:lvl w:ilvl="0" w:tplc="DDEC2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D6DC1"/>
    <w:rsid w:val="000A0548"/>
    <w:rsid w:val="002D3905"/>
    <w:rsid w:val="002E7B31"/>
    <w:rsid w:val="003F2493"/>
    <w:rsid w:val="0042625E"/>
    <w:rsid w:val="00547E69"/>
    <w:rsid w:val="00582D96"/>
    <w:rsid w:val="00684356"/>
    <w:rsid w:val="00703070"/>
    <w:rsid w:val="00765AAD"/>
    <w:rsid w:val="009A5319"/>
    <w:rsid w:val="009E3650"/>
    <w:rsid w:val="00AD09BD"/>
    <w:rsid w:val="00B549BD"/>
    <w:rsid w:val="00B64BF5"/>
    <w:rsid w:val="00D737B8"/>
    <w:rsid w:val="00E12761"/>
    <w:rsid w:val="00E25E57"/>
    <w:rsid w:val="00F74F66"/>
    <w:rsid w:val="00FD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40" w:line="360" w:lineRule="auto"/>
        <w:ind w:left="1701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C1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6DC1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FD6DC1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FD6DC1"/>
    <w:rPr>
      <w:rFonts w:ascii="Calibri" w:eastAsia="SimSun" w:hAnsi="Calibri" w:cs="Times New Roman"/>
      <w:lang w:eastAsia="en-ZA"/>
    </w:rPr>
  </w:style>
  <w:style w:type="character" w:styleId="Emphasis">
    <w:name w:val="Emphasis"/>
    <w:basedOn w:val="DefaultParagraphFont"/>
    <w:uiPriority w:val="20"/>
    <w:qFormat/>
    <w:rsid w:val="00FD6DC1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FD6DC1"/>
    <w:rPr>
      <w:rFonts w:eastAsia="Times New Roman"/>
      <w:b/>
      <w:bCs/>
      <w:sz w:val="12"/>
      <w:lang w:val="en-US"/>
    </w:rPr>
  </w:style>
  <w:style w:type="paragraph" w:styleId="BodyText">
    <w:name w:val="Body Text"/>
    <w:basedOn w:val="Normal"/>
    <w:link w:val="BodyTextChar"/>
    <w:rsid w:val="00FD6DC1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D6DC1"/>
    <w:rPr>
      <w:rFonts w:eastAsia="Times New Roman"/>
      <w:sz w:val="22"/>
      <w:lang w:val="en-US"/>
    </w:rPr>
  </w:style>
  <w:style w:type="table" w:styleId="TableGrid">
    <w:name w:val="Table Grid"/>
    <w:basedOn w:val="TableNormal"/>
    <w:uiPriority w:val="39"/>
    <w:rsid w:val="002D3905"/>
    <w:pPr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dcterms:created xsi:type="dcterms:W3CDTF">2022-03-22T13:12:00Z</dcterms:created>
  <dcterms:modified xsi:type="dcterms:W3CDTF">2022-03-22T13:12:00Z</dcterms:modified>
</cp:coreProperties>
</file>