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C1" w:rsidRPr="0034705D" w:rsidRDefault="00FD6DC1" w:rsidP="00FD6DC1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FD6DC1" w:rsidRPr="0034705D" w:rsidRDefault="00FD6DC1" w:rsidP="00FD6DC1">
      <w:pPr>
        <w:jc w:val="both"/>
        <w:rPr>
          <w:b/>
          <w:sz w:val="24"/>
          <w:u w:val="single"/>
        </w:rPr>
      </w:pPr>
    </w:p>
    <w:p w:rsidR="00FD6DC1" w:rsidRPr="0034705D" w:rsidRDefault="00FD6DC1" w:rsidP="00FD6DC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FD6DC1" w:rsidRPr="0034705D" w:rsidRDefault="00FD6DC1" w:rsidP="00FD6DC1">
      <w:pPr>
        <w:pStyle w:val="BodyText"/>
        <w:rPr>
          <w:b/>
          <w:bCs/>
          <w:sz w:val="24"/>
          <w:u w:val="single"/>
        </w:rPr>
      </w:pPr>
    </w:p>
    <w:p w:rsidR="00FD6DC1" w:rsidRDefault="00FD6DC1" w:rsidP="00FD6DC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CD1883">
        <w:rPr>
          <w:b/>
          <w:bCs/>
          <w:sz w:val="24"/>
          <w:u w:val="single"/>
        </w:rPr>
        <w:t>4</w:t>
      </w:r>
      <w:r w:rsidR="00EE7F7B">
        <w:rPr>
          <w:b/>
          <w:bCs/>
          <w:sz w:val="24"/>
          <w:u w:val="single"/>
        </w:rPr>
        <w:t>61</w:t>
      </w:r>
      <w:bookmarkStart w:id="0" w:name="_GoBack"/>
      <w:bookmarkEnd w:id="0"/>
    </w:p>
    <w:p w:rsidR="00FD6DC1" w:rsidRDefault="00FD6DC1" w:rsidP="00FD6DC1">
      <w:pPr>
        <w:pStyle w:val="BodyText"/>
        <w:rPr>
          <w:b/>
          <w:bCs/>
          <w:sz w:val="24"/>
          <w:u w:val="single"/>
        </w:rPr>
      </w:pPr>
    </w:p>
    <w:p w:rsidR="00FD6DC1" w:rsidRPr="00934798" w:rsidRDefault="00FD6DC1" w:rsidP="00FD6DC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>
        <w:rPr>
          <w:b/>
          <w:bCs/>
          <w:sz w:val="24"/>
          <w:u w:val="single"/>
        </w:rPr>
        <w:t xml:space="preserve">25 FEBRUARY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21</w:t>
      </w:r>
      <w:r w:rsidRPr="00934798">
        <w:rPr>
          <w:b/>
          <w:bCs/>
          <w:sz w:val="24"/>
          <w:u w:val="single"/>
        </w:rPr>
        <w:t xml:space="preserve">   </w:t>
      </w:r>
    </w:p>
    <w:p w:rsidR="00FD6DC1" w:rsidRPr="00E17D06" w:rsidRDefault="00FD6DC1" w:rsidP="00FD6DC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E17D06">
        <w:rPr>
          <w:rFonts w:ascii="Arial" w:hAnsi="Arial" w:cs="Arial"/>
          <w:b/>
          <w:bCs/>
          <w:sz w:val="24"/>
          <w:u w:val="single"/>
        </w:rPr>
        <w:t>(INTERNAL QUESTION PAPER NO. 0</w:t>
      </w:r>
      <w:r w:rsidR="00E17D06">
        <w:rPr>
          <w:rFonts w:ascii="Arial" w:hAnsi="Arial" w:cs="Arial"/>
          <w:b/>
          <w:bCs/>
          <w:sz w:val="24"/>
          <w:u w:val="single"/>
        </w:rPr>
        <w:t>4</w:t>
      </w:r>
      <w:r w:rsidRPr="00E17D06">
        <w:rPr>
          <w:rFonts w:ascii="Arial" w:hAnsi="Arial" w:cs="Arial"/>
          <w:b/>
          <w:bCs/>
          <w:sz w:val="24"/>
          <w:u w:val="single"/>
        </w:rPr>
        <w:t>)</w:t>
      </w:r>
    </w:p>
    <w:p w:rsidR="00A9503B" w:rsidRPr="00A9503B" w:rsidRDefault="00A9503B" w:rsidP="00A9503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A9503B">
        <w:rPr>
          <w:rFonts w:ascii="Arial" w:hAnsi="Arial" w:cs="Arial"/>
          <w:b/>
          <w:sz w:val="24"/>
          <w:szCs w:val="24"/>
          <w:u w:val="single"/>
          <w:lang w:val="en-US"/>
        </w:rPr>
        <w:t>Ms H Ismail (DA) to ask the Minister of Health</w:t>
      </w:r>
      <w:r w:rsidR="003F7EAF" w:rsidRPr="00A9503B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begin"/>
      </w:r>
      <w:r w:rsidRPr="00A9503B">
        <w:rPr>
          <w:rFonts w:ascii="Arial" w:hAnsi="Arial" w:cs="Arial"/>
          <w:u w:val="single"/>
        </w:rPr>
        <w:instrText xml:space="preserve"> XE "</w:instrText>
      </w:r>
      <w:r w:rsidRPr="00A9503B">
        <w:rPr>
          <w:rFonts w:ascii="Arial" w:hAnsi="Arial" w:cs="Arial"/>
          <w:b/>
          <w:sz w:val="24"/>
          <w:szCs w:val="24"/>
          <w:u w:val="single"/>
          <w:lang w:val="en-GB"/>
        </w:rPr>
        <w:instrText>Health</w:instrText>
      </w:r>
      <w:r w:rsidRPr="00A9503B">
        <w:rPr>
          <w:rFonts w:ascii="Arial" w:hAnsi="Arial" w:cs="Arial"/>
          <w:u w:val="single"/>
        </w:rPr>
        <w:instrText xml:space="preserve">" </w:instrText>
      </w:r>
      <w:r w:rsidR="003F7EAF" w:rsidRPr="00A9503B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end"/>
      </w:r>
      <w:r w:rsidRPr="00A9503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</w:p>
    <w:p w:rsidR="00CD1883" w:rsidRPr="00037963" w:rsidRDefault="00A9503B" w:rsidP="00A9503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9503B">
        <w:rPr>
          <w:rFonts w:ascii="Arial" w:hAnsi="Arial" w:cs="Arial"/>
          <w:sz w:val="24"/>
          <w:szCs w:val="24"/>
        </w:rPr>
        <w:t>What (a) is the current national backlog of postponed (</w:t>
      </w:r>
      <w:proofErr w:type="spellStart"/>
      <w:r w:rsidRPr="00A9503B">
        <w:rPr>
          <w:rFonts w:ascii="Arial" w:hAnsi="Arial" w:cs="Arial"/>
          <w:sz w:val="24"/>
          <w:szCs w:val="24"/>
        </w:rPr>
        <w:t>i</w:t>
      </w:r>
      <w:proofErr w:type="spellEnd"/>
      <w:r w:rsidRPr="00A9503B">
        <w:rPr>
          <w:rFonts w:ascii="Arial" w:hAnsi="Arial" w:cs="Arial"/>
          <w:sz w:val="24"/>
          <w:szCs w:val="24"/>
        </w:rPr>
        <w:t>) non-essential surgeries and (ii) cancer treatment, (b) is the backlog in each province in each specified case, (c) what (</w:t>
      </w:r>
      <w:proofErr w:type="spellStart"/>
      <w:r w:rsidRPr="00A9503B">
        <w:rPr>
          <w:rFonts w:ascii="Arial" w:hAnsi="Arial" w:cs="Arial"/>
          <w:sz w:val="24"/>
          <w:szCs w:val="24"/>
        </w:rPr>
        <w:t>i</w:t>
      </w:r>
      <w:proofErr w:type="spellEnd"/>
      <w:r w:rsidRPr="00A9503B">
        <w:rPr>
          <w:rFonts w:ascii="Arial" w:hAnsi="Arial" w:cs="Arial"/>
          <w:sz w:val="24"/>
          <w:szCs w:val="24"/>
        </w:rPr>
        <w:t>) number and (ii) types of each surgery have been delayed and (d) is the waiting time for each of the non-essential surgeries, for example, the period a patient has to wait for the procedure to remove a cataract?</w:t>
      </w:r>
    </w:p>
    <w:p w:rsidR="00CD1883" w:rsidRPr="00E17D06" w:rsidRDefault="00CD1883" w:rsidP="00CD1883">
      <w:pPr>
        <w:spacing w:before="100" w:beforeAutospacing="1" w:after="100" w:afterAutospacing="1" w:line="240" w:lineRule="auto"/>
        <w:ind w:left="720"/>
        <w:jc w:val="right"/>
        <w:outlineLvl w:val="0"/>
        <w:rPr>
          <w:rFonts w:ascii="Arial" w:hAnsi="Arial" w:cs="Arial"/>
          <w:sz w:val="12"/>
          <w:szCs w:val="12"/>
        </w:rPr>
      </w:pPr>
      <w:r w:rsidRPr="00E17D06">
        <w:rPr>
          <w:rFonts w:ascii="Arial" w:hAnsi="Arial" w:cs="Arial"/>
          <w:sz w:val="12"/>
          <w:szCs w:val="12"/>
        </w:rPr>
        <w:t>NW</w:t>
      </w:r>
      <w:r w:rsidR="00A07C4E">
        <w:rPr>
          <w:rFonts w:ascii="Arial" w:hAnsi="Arial" w:cs="Arial"/>
          <w:sz w:val="12"/>
          <w:szCs w:val="12"/>
        </w:rPr>
        <w:t>52</w:t>
      </w:r>
      <w:r w:rsidR="00A9503B">
        <w:rPr>
          <w:rFonts w:ascii="Arial" w:hAnsi="Arial" w:cs="Arial"/>
          <w:sz w:val="12"/>
          <w:szCs w:val="12"/>
        </w:rPr>
        <w:t>6</w:t>
      </w:r>
      <w:r w:rsidRPr="00E17D06">
        <w:rPr>
          <w:rFonts w:ascii="Arial" w:hAnsi="Arial" w:cs="Arial"/>
          <w:sz w:val="12"/>
          <w:szCs w:val="12"/>
        </w:rPr>
        <w:t>E</w:t>
      </w:r>
    </w:p>
    <w:p w:rsidR="00A9503B" w:rsidRPr="00A9503B" w:rsidRDefault="00A9503B" w:rsidP="00A9503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950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REPLY</w:t>
      </w:r>
      <w:r w:rsidRPr="00A9503B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A9503B" w:rsidRPr="00A9503B" w:rsidRDefault="00A9503B" w:rsidP="00A9503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9503B" w:rsidRPr="00A9503B" w:rsidRDefault="00A9503B" w:rsidP="00A9503B">
      <w:pPr>
        <w:pStyle w:val="ListParagraph"/>
        <w:numPr>
          <w:ilvl w:val="0"/>
          <w:numId w:val="15"/>
        </w:numPr>
        <w:ind w:left="709" w:hanging="709"/>
        <w:contextualSpacing w:val="0"/>
        <w:jc w:val="both"/>
        <w:rPr>
          <w:rFonts w:ascii="Arial" w:hAnsi="Arial" w:cs="Arial"/>
        </w:rPr>
      </w:pPr>
      <w:r w:rsidRPr="00A9503B">
        <w:rPr>
          <w:rFonts w:ascii="Arial" w:hAnsi="Arial" w:cs="Arial"/>
        </w:rPr>
        <w:t>Surgeries are conducted at facility level and the information is also collected here. The current national backlog information can therefore not be provided as there is still outstanding information.</w:t>
      </w:r>
    </w:p>
    <w:p w:rsidR="00A9503B" w:rsidRPr="00A9503B" w:rsidRDefault="00A9503B" w:rsidP="00A9503B">
      <w:pPr>
        <w:pStyle w:val="ListParagraph"/>
        <w:ind w:left="360"/>
        <w:contextualSpacing w:val="0"/>
        <w:jc w:val="both"/>
        <w:rPr>
          <w:rFonts w:ascii="Arial" w:hAnsi="Arial" w:cs="Arial"/>
        </w:rPr>
      </w:pPr>
    </w:p>
    <w:p w:rsidR="00A9503B" w:rsidRPr="00A9503B" w:rsidRDefault="00A9503B" w:rsidP="00A9503B">
      <w:pPr>
        <w:pStyle w:val="ListParagraph"/>
        <w:ind w:left="360"/>
        <w:jc w:val="both"/>
        <w:rPr>
          <w:rFonts w:ascii="Arial" w:hAnsi="Arial" w:cs="Arial"/>
        </w:rPr>
      </w:pPr>
      <w:r w:rsidRPr="00A9503B">
        <w:rPr>
          <w:rFonts w:ascii="Arial" w:hAnsi="Arial" w:cs="Arial"/>
        </w:rPr>
        <w:t xml:space="preserve"> </w:t>
      </w:r>
      <w:r w:rsidRPr="00A9503B">
        <w:rPr>
          <w:rFonts w:ascii="Arial" w:hAnsi="Arial" w:cs="Arial"/>
        </w:rPr>
        <w:tab/>
        <w:t>Table below provides information by province who have reported for (b</w:t>
      </w:r>
      <w:proofErr w:type="gramStart"/>
      <w:r w:rsidRPr="00A9503B">
        <w:rPr>
          <w:rFonts w:ascii="Arial" w:hAnsi="Arial" w:cs="Arial"/>
        </w:rPr>
        <w:t>)(</w:t>
      </w:r>
      <w:proofErr w:type="spellStart"/>
      <w:proofErr w:type="gramEnd"/>
      <w:r w:rsidRPr="00A9503B">
        <w:rPr>
          <w:rFonts w:ascii="Arial" w:hAnsi="Arial" w:cs="Arial"/>
        </w:rPr>
        <w:t>i</w:t>
      </w:r>
      <w:proofErr w:type="spellEnd"/>
      <w:r w:rsidRPr="00A9503B">
        <w:rPr>
          <w:rFonts w:ascii="Arial" w:hAnsi="Arial" w:cs="Arial"/>
        </w:rPr>
        <w:t>)(ii).</w:t>
      </w:r>
    </w:p>
    <w:tbl>
      <w:tblPr>
        <w:tblStyle w:val="TableGrid"/>
        <w:tblW w:w="9072" w:type="dxa"/>
        <w:tblInd w:w="704" w:type="dxa"/>
        <w:tblLook w:val="04A0"/>
      </w:tblPr>
      <w:tblGrid>
        <w:gridCol w:w="1960"/>
        <w:gridCol w:w="2718"/>
        <w:gridCol w:w="4394"/>
      </w:tblGrid>
      <w:tr w:rsidR="00A9503B" w:rsidRPr="00A9503B" w:rsidTr="00A9503B">
        <w:tc>
          <w:tcPr>
            <w:tcW w:w="1960" w:type="dxa"/>
          </w:tcPr>
          <w:p w:rsidR="00A9503B" w:rsidRPr="00A9503B" w:rsidRDefault="00A9503B" w:rsidP="006419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97550234"/>
            <w:r w:rsidRPr="00A9503B">
              <w:rPr>
                <w:rFonts w:ascii="Arial" w:hAnsi="Arial" w:cs="Arial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2718" w:type="dxa"/>
          </w:tcPr>
          <w:p w:rsidR="00A9503B" w:rsidRPr="00A9503B" w:rsidRDefault="00A9503B" w:rsidP="006419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03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b(</w:t>
            </w:r>
            <w:proofErr w:type="spellStart"/>
            <w:r w:rsidRPr="00A9503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A9503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) non-essential surgeries</w:t>
            </w:r>
          </w:p>
        </w:tc>
        <w:tc>
          <w:tcPr>
            <w:tcW w:w="4394" w:type="dxa"/>
          </w:tcPr>
          <w:p w:rsidR="00A9503B" w:rsidRPr="00A9503B" w:rsidRDefault="00A9503B" w:rsidP="006419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03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b(ii) cancer treatment,</w:t>
            </w:r>
          </w:p>
        </w:tc>
      </w:tr>
      <w:tr w:rsidR="00A9503B" w:rsidRPr="00A9503B" w:rsidTr="00A9503B">
        <w:trPr>
          <w:trHeight w:val="70"/>
        </w:trPr>
        <w:tc>
          <w:tcPr>
            <w:tcW w:w="196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Free State</w:t>
            </w:r>
          </w:p>
        </w:tc>
        <w:tc>
          <w:tcPr>
            <w:tcW w:w="2718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3076</w:t>
            </w:r>
          </w:p>
        </w:tc>
        <w:tc>
          <w:tcPr>
            <w:tcW w:w="4394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Not specified</w:t>
            </w:r>
          </w:p>
        </w:tc>
      </w:tr>
      <w:tr w:rsidR="00A9503B" w:rsidRPr="00A9503B" w:rsidTr="00A9503B">
        <w:tc>
          <w:tcPr>
            <w:tcW w:w="196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Kwa-Zulu Natal</w:t>
            </w:r>
          </w:p>
        </w:tc>
        <w:tc>
          <w:tcPr>
            <w:tcW w:w="2718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16295</w:t>
            </w:r>
          </w:p>
        </w:tc>
        <w:tc>
          <w:tcPr>
            <w:tcW w:w="4394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311</w:t>
            </w:r>
          </w:p>
        </w:tc>
      </w:tr>
      <w:tr w:rsidR="00A9503B" w:rsidRPr="00A9503B" w:rsidTr="00A9503B">
        <w:tc>
          <w:tcPr>
            <w:tcW w:w="196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Limpopo</w:t>
            </w:r>
          </w:p>
        </w:tc>
        <w:tc>
          <w:tcPr>
            <w:tcW w:w="2718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5398</w:t>
            </w:r>
          </w:p>
        </w:tc>
        <w:tc>
          <w:tcPr>
            <w:tcW w:w="4394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A9503B" w:rsidRPr="00A9503B" w:rsidTr="00A9503B">
        <w:tc>
          <w:tcPr>
            <w:tcW w:w="196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Mpumalanga</w:t>
            </w:r>
          </w:p>
        </w:tc>
        <w:tc>
          <w:tcPr>
            <w:tcW w:w="2718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2687</w:t>
            </w:r>
          </w:p>
        </w:tc>
        <w:tc>
          <w:tcPr>
            <w:tcW w:w="4394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No backlog for cancer treatment</w:t>
            </w:r>
          </w:p>
        </w:tc>
      </w:tr>
      <w:tr w:rsidR="00A9503B" w:rsidRPr="00A9503B" w:rsidTr="00A9503B">
        <w:tc>
          <w:tcPr>
            <w:tcW w:w="1960" w:type="dxa"/>
          </w:tcPr>
          <w:p w:rsidR="00A9503B" w:rsidRPr="00A9503B" w:rsidRDefault="00A9503B" w:rsidP="006419DB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Northern Cape</w:t>
            </w:r>
          </w:p>
        </w:tc>
        <w:tc>
          <w:tcPr>
            <w:tcW w:w="2718" w:type="dxa"/>
          </w:tcPr>
          <w:p w:rsidR="00A9503B" w:rsidRPr="00A9503B" w:rsidRDefault="00A9503B" w:rsidP="006419DB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2542</w:t>
            </w:r>
          </w:p>
        </w:tc>
        <w:tc>
          <w:tcPr>
            <w:tcW w:w="4394" w:type="dxa"/>
          </w:tcPr>
          <w:p w:rsidR="00A9503B" w:rsidRPr="00A9503B" w:rsidRDefault="00A9503B" w:rsidP="006419DB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Not specified</w:t>
            </w:r>
          </w:p>
        </w:tc>
      </w:tr>
      <w:tr w:rsidR="00A9503B" w:rsidRPr="00A9503B" w:rsidTr="00A9503B">
        <w:tc>
          <w:tcPr>
            <w:tcW w:w="1960" w:type="dxa"/>
          </w:tcPr>
          <w:p w:rsidR="00A9503B" w:rsidRPr="00A9503B" w:rsidRDefault="00A9503B" w:rsidP="006419DB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Western Cape</w:t>
            </w:r>
          </w:p>
        </w:tc>
        <w:tc>
          <w:tcPr>
            <w:tcW w:w="2718" w:type="dxa"/>
          </w:tcPr>
          <w:p w:rsidR="00A9503B" w:rsidRPr="00A9503B" w:rsidRDefault="00A9503B" w:rsidP="006419DB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 xml:space="preserve">Western Cape Department of Health use operations &gt; 30 </w:t>
            </w:r>
            <w:proofErr w:type="spellStart"/>
            <w:r w:rsidRPr="00A9503B"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  <w:r w:rsidRPr="00A9503B">
              <w:rPr>
                <w:rFonts w:ascii="Arial" w:hAnsi="Arial" w:cs="Arial"/>
                <w:sz w:val="24"/>
                <w:szCs w:val="24"/>
              </w:rPr>
              <w:t xml:space="preserve"> as a proxy marker for this:</w:t>
            </w:r>
          </w:p>
          <w:p w:rsidR="00A9503B" w:rsidRPr="00A9503B" w:rsidRDefault="00A9503B" w:rsidP="006419D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 xml:space="preserve">2019 the Department performed 105 882 operations &gt; 30 </w:t>
            </w:r>
            <w:proofErr w:type="spellStart"/>
            <w:r w:rsidRPr="00A9503B"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</w:p>
          <w:p w:rsidR="00A9503B" w:rsidRPr="00A9503B" w:rsidRDefault="00A9503B" w:rsidP="006419D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 xml:space="preserve">This dropped by 19 % during 2020 </w:t>
            </w:r>
          </w:p>
          <w:p w:rsidR="00A9503B" w:rsidRPr="00A9503B" w:rsidRDefault="00A9503B" w:rsidP="006419D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>Dropped even further to 22 % by 2021</w:t>
            </w:r>
          </w:p>
        </w:tc>
        <w:tc>
          <w:tcPr>
            <w:tcW w:w="4394" w:type="dxa"/>
          </w:tcPr>
          <w:p w:rsidR="00A9503B" w:rsidRPr="00A9503B" w:rsidRDefault="00A9503B" w:rsidP="006419DB">
            <w:pPr>
              <w:pStyle w:val="ListParagraph"/>
              <w:ind w:left="0"/>
              <w:rPr>
                <w:rFonts w:ascii="Arial" w:eastAsiaTheme="minorHAnsi" w:hAnsi="Arial" w:cs="Arial"/>
              </w:rPr>
            </w:pPr>
            <w:r w:rsidRPr="00A9503B">
              <w:rPr>
                <w:rFonts w:ascii="Arial" w:eastAsiaTheme="minorHAnsi" w:hAnsi="Arial" w:cs="Arial"/>
              </w:rPr>
              <w:t>The services have begun re-escalating cervical cancer screening activities again.</w:t>
            </w:r>
          </w:p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9503B" w:rsidRPr="00A9503B" w:rsidTr="00A9503B">
        <w:tc>
          <w:tcPr>
            <w:tcW w:w="196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98246370"/>
            <w:bookmarkStart w:id="3" w:name="_Hlk97556098"/>
            <w:bookmarkEnd w:id="1"/>
            <w:r w:rsidRPr="00A9503B">
              <w:rPr>
                <w:rFonts w:ascii="Arial" w:hAnsi="Arial" w:cs="Arial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2718" w:type="dxa"/>
          </w:tcPr>
          <w:p w:rsidR="00A9503B" w:rsidRPr="00A9503B" w:rsidRDefault="00A9503B" w:rsidP="006419D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/>
                <w:bCs/>
                <w:sz w:val="24"/>
                <w:szCs w:val="24"/>
              </w:rPr>
              <w:t>c(</w:t>
            </w:r>
            <w:proofErr w:type="spellStart"/>
            <w:r w:rsidRPr="00A9503B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A950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)Number of </w:t>
            </w:r>
            <w:r w:rsidRPr="00A9503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delayed surgeries</w:t>
            </w:r>
          </w:p>
        </w:tc>
        <w:tc>
          <w:tcPr>
            <w:tcW w:w="4394" w:type="dxa"/>
          </w:tcPr>
          <w:p w:rsidR="00A9503B" w:rsidRPr="00A9503B" w:rsidRDefault="00A9503B" w:rsidP="006419D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c)(ii)Type of surgery</w:t>
            </w:r>
          </w:p>
        </w:tc>
      </w:tr>
      <w:bookmarkEnd w:id="2"/>
      <w:tr w:rsidR="00A9503B" w:rsidRPr="00A9503B" w:rsidTr="00A9503B">
        <w:tc>
          <w:tcPr>
            <w:tcW w:w="1960" w:type="dxa"/>
            <w:vMerge w:val="restart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lastRenderedPageBreak/>
              <w:t>Free State</w:t>
            </w:r>
          </w:p>
        </w:tc>
        <w:tc>
          <w:tcPr>
            <w:tcW w:w="2718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411</w:t>
            </w:r>
          </w:p>
        </w:tc>
        <w:tc>
          <w:tcPr>
            <w:tcW w:w="4394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Orthopaedics</w:t>
            </w:r>
          </w:p>
        </w:tc>
      </w:tr>
      <w:tr w:rsidR="00A9503B" w:rsidRPr="00A9503B" w:rsidTr="00A9503B">
        <w:tc>
          <w:tcPr>
            <w:tcW w:w="196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bookmarkStart w:id="4" w:name="_Hlk97553358"/>
          </w:p>
        </w:tc>
        <w:tc>
          <w:tcPr>
            <w:tcW w:w="2718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 xml:space="preserve">Obstetrics and Gynaecology </w:t>
            </w:r>
          </w:p>
        </w:tc>
      </w:tr>
      <w:bookmarkEnd w:id="4"/>
      <w:tr w:rsidR="00A9503B" w:rsidRPr="00A9503B" w:rsidTr="00A9503B">
        <w:tc>
          <w:tcPr>
            <w:tcW w:w="196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350</w:t>
            </w:r>
          </w:p>
        </w:tc>
        <w:tc>
          <w:tcPr>
            <w:tcW w:w="4394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bookmarkStart w:id="5" w:name="_Hlk97553377"/>
            <w:r w:rsidRPr="00A9503B">
              <w:rPr>
                <w:rFonts w:ascii="Arial" w:hAnsi="Arial" w:cs="Arial"/>
                <w:bCs/>
                <w:sz w:val="24"/>
                <w:szCs w:val="24"/>
              </w:rPr>
              <w:t>General Surgery</w:t>
            </w:r>
            <w:bookmarkEnd w:id="5"/>
          </w:p>
        </w:tc>
      </w:tr>
      <w:tr w:rsidR="00A9503B" w:rsidRPr="00A9503B" w:rsidTr="00A9503B">
        <w:tc>
          <w:tcPr>
            <w:tcW w:w="196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722</w:t>
            </w:r>
          </w:p>
        </w:tc>
        <w:tc>
          <w:tcPr>
            <w:tcW w:w="4394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 xml:space="preserve">Ophthalmology </w:t>
            </w:r>
          </w:p>
        </w:tc>
      </w:tr>
      <w:tr w:rsidR="00A9503B" w:rsidRPr="00A9503B" w:rsidTr="00A9503B">
        <w:tc>
          <w:tcPr>
            <w:tcW w:w="196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88</w:t>
            </w:r>
          </w:p>
        </w:tc>
        <w:tc>
          <w:tcPr>
            <w:tcW w:w="4394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Urology</w:t>
            </w:r>
          </w:p>
        </w:tc>
      </w:tr>
      <w:tr w:rsidR="00A9503B" w:rsidRPr="00A9503B" w:rsidTr="00A9503B">
        <w:tc>
          <w:tcPr>
            <w:tcW w:w="196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98</w:t>
            </w:r>
          </w:p>
        </w:tc>
        <w:tc>
          <w:tcPr>
            <w:tcW w:w="4394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9503B">
              <w:rPr>
                <w:rFonts w:ascii="Arial" w:hAnsi="Arial" w:cs="Arial"/>
                <w:bCs/>
                <w:sz w:val="24"/>
                <w:szCs w:val="24"/>
              </w:rPr>
              <w:t>Maxillo</w:t>
            </w:r>
            <w:proofErr w:type="spellEnd"/>
            <w:r w:rsidRPr="00A9503B">
              <w:rPr>
                <w:rFonts w:ascii="Arial" w:hAnsi="Arial" w:cs="Arial"/>
                <w:bCs/>
                <w:sz w:val="24"/>
                <w:szCs w:val="24"/>
              </w:rPr>
              <w:t>- Facial</w:t>
            </w:r>
          </w:p>
        </w:tc>
      </w:tr>
      <w:bookmarkEnd w:id="3"/>
    </w:tbl>
    <w:p w:rsidR="00A9503B" w:rsidRPr="00A9503B" w:rsidRDefault="00A9503B" w:rsidP="00A9503B">
      <w:pPr>
        <w:spacing w:line="240" w:lineRule="auto"/>
        <w:rPr>
          <w:rFonts w:ascii="Arial" w:hAnsi="Arial" w:cs="Arial"/>
          <w:sz w:val="24"/>
          <w:szCs w:val="24"/>
        </w:rPr>
      </w:pPr>
    </w:p>
    <w:p w:rsidR="00A9503B" w:rsidRPr="00A9503B" w:rsidRDefault="00A9503B" w:rsidP="00A9503B">
      <w:pPr>
        <w:tabs>
          <w:tab w:val="left" w:pos="1418"/>
        </w:tabs>
        <w:spacing w:line="240" w:lineRule="auto"/>
        <w:ind w:left="2127" w:hanging="1418"/>
        <w:rPr>
          <w:rFonts w:ascii="Arial" w:hAnsi="Arial" w:cs="Arial"/>
          <w:sz w:val="24"/>
          <w:szCs w:val="24"/>
        </w:rPr>
      </w:pPr>
      <w:r w:rsidRPr="00A9503B">
        <w:rPr>
          <w:rFonts w:ascii="Arial" w:hAnsi="Arial" w:cs="Arial"/>
          <w:sz w:val="24"/>
          <w:szCs w:val="24"/>
        </w:rPr>
        <w:t xml:space="preserve">(d) </w:t>
      </w:r>
      <w:r w:rsidRPr="00A9503B"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 w:rsidRPr="00A9503B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A9503B">
        <w:rPr>
          <w:rFonts w:ascii="Arial" w:hAnsi="Arial" w:cs="Arial"/>
          <w:sz w:val="24"/>
          <w:szCs w:val="24"/>
        </w:rPr>
        <w:t xml:space="preserve">) </w:t>
      </w:r>
      <w:r w:rsidRPr="00A9503B">
        <w:rPr>
          <w:rFonts w:ascii="Arial" w:hAnsi="Arial" w:cs="Arial"/>
          <w:sz w:val="24"/>
          <w:szCs w:val="24"/>
        </w:rPr>
        <w:tab/>
        <w:t>The waiting time in Free State facilities for non-essential surgery is as follows: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240"/>
        <w:ind w:left="2835" w:hanging="641"/>
        <w:contextualSpacing w:val="0"/>
        <w:jc w:val="both"/>
        <w:rPr>
          <w:rFonts w:ascii="Arial" w:hAnsi="Arial" w:cs="Arial"/>
        </w:rPr>
      </w:pPr>
      <w:bookmarkStart w:id="6" w:name="_Hlk97556884"/>
      <w:r w:rsidRPr="00A9503B">
        <w:rPr>
          <w:rFonts w:ascii="Arial" w:hAnsi="Arial" w:cs="Arial"/>
          <w:bCs/>
        </w:rPr>
        <w:t>Orthopaedics</w:t>
      </w:r>
      <w:r w:rsidRPr="00A9503B">
        <w:rPr>
          <w:rFonts w:ascii="Arial" w:hAnsi="Arial" w:cs="Arial"/>
        </w:rPr>
        <w:t xml:space="preserve"> surgery ranges between four (4) weeks for femur fracture to five (5 years) for arthroplasty.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240"/>
        <w:ind w:left="2835" w:hanging="641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 xml:space="preserve">Obstetrics and Gynaecology </w:t>
      </w:r>
      <w:bookmarkStart w:id="7" w:name="_Hlk97553958"/>
      <w:r w:rsidRPr="00A9503B">
        <w:rPr>
          <w:rFonts w:ascii="Arial" w:hAnsi="Arial" w:cs="Arial"/>
          <w:bCs/>
        </w:rPr>
        <w:t>between from two (2) weeks to two (</w:t>
      </w:r>
      <w:bookmarkEnd w:id="7"/>
      <w:r w:rsidRPr="00A9503B">
        <w:rPr>
          <w:rFonts w:ascii="Arial" w:hAnsi="Arial" w:cs="Arial"/>
          <w:bCs/>
        </w:rPr>
        <w:t>2) years.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240"/>
        <w:ind w:left="2835" w:hanging="641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>General Surgery ranges between two (2) weeks to two (2) years.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240"/>
        <w:ind w:left="2835" w:hanging="641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 xml:space="preserve">Urology ranges </w:t>
      </w:r>
      <w:proofErr w:type="gramStart"/>
      <w:r w:rsidRPr="00A9503B">
        <w:rPr>
          <w:rFonts w:ascii="Arial" w:hAnsi="Arial" w:cs="Arial"/>
          <w:bCs/>
        </w:rPr>
        <w:t>between one (1) month to one (1) year</w:t>
      </w:r>
      <w:proofErr w:type="gramEnd"/>
      <w:r w:rsidRPr="00A9503B">
        <w:rPr>
          <w:rFonts w:ascii="Arial" w:hAnsi="Arial" w:cs="Arial"/>
          <w:bCs/>
        </w:rPr>
        <w:t>.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240"/>
        <w:ind w:left="2835" w:hanging="641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 xml:space="preserve">Ophthalmology there is none for Retina surgery from one hospital. </w:t>
      </w:r>
    </w:p>
    <w:bookmarkEnd w:id="6"/>
    <w:p w:rsidR="00A9503B" w:rsidRPr="00A9503B" w:rsidRDefault="00A9503B" w:rsidP="00A9503B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ab/>
      </w:r>
      <w:r w:rsidRPr="00A9503B">
        <w:rPr>
          <w:rFonts w:ascii="Arial" w:hAnsi="Arial" w:cs="Arial"/>
          <w:bCs/>
        </w:rPr>
        <w:tab/>
        <w:t xml:space="preserve">(ii) </w:t>
      </w:r>
      <w:r w:rsidRPr="00A9503B">
        <w:rPr>
          <w:rFonts w:ascii="Arial" w:hAnsi="Arial" w:cs="Arial"/>
          <w:bCs/>
        </w:rPr>
        <w:tab/>
        <w:t>However for cataract surgery it ranges from one (1) year to three (3) years.</w:t>
      </w:r>
    </w:p>
    <w:tbl>
      <w:tblPr>
        <w:tblStyle w:val="TableGrid"/>
        <w:tblW w:w="7650" w:type="dxa"/>
        <w:tblInd w:w="2122" w:type="dxa"/>
        <w:tblLook w:val="04A0"/>
      </w:tblPr>
      <w:tblGrid>
        <w:gridCol w:w="2610"/>
        <w:gridCol w:w="2520"/>
        <w:gridCol w:w="2520"/>
      </w:tblGrid>
      <w:tr w:rsidR="00A9503B" w:rsidRPr="00A9503B" w:rsidTr="006419DB">
        <w:tc>
          <w:tcPr>
            <w:tcW w:w="261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8" w:name="_Hlk97558176"/>
            <w:r w:rsidRPr="00A9503B">
              <w:rPr>
                <w:rFonts w:ascii="Arial" w:hAnsi="Arial" w:cs="Arial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A9503B">
              <w:rPr>
                <w:rFonts w:ascii="Arial" w:hAnsi="Arial" w:cs="Arial"/>
                <w:b/>
                <w:bCs/>
              </w:rPr>
              <w:t>c(</w:t>
            </w:r>
            <w:proofErr w:type="spellStart"/>
            <w:r w:rsidRPr="00A9503B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A9503B">
              <w:rPr>
                <w:rFonts w:ascii="Arial" w:hAnsi="Arial" w:cs="Arial"/>
                <w:b/>
                <w:bCs/>
              </w:rPr>
              <w:t>)Number of delayed surgeries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/>
                <w:bCs/>
                <w:sz w:val="24"/>
                <w:szCs w:val="24"/>
              </w:rPr>
              <w:t>c)(ii)Type of surgery</w:t>
            </w:r>
          </w:p>
        </w:tc>
      </w:tr>
      <w:tr w:rsidR="00A9503B" w:rsidRPr="00A9503B" w:rsidTr="006419DB">
        <w:tc>
          <w:tcPr>
            <w:tcW w:w="2610" w:type="dxa"/>
            <w:vMerge w:val="restart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Kwa- Zulu Natal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>2147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Orthopaedics</w:t>
            </w:r>
          </w:p>
        </w:tc>
      </w:tr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 xml:space="preserve">Obstetrics and Gynaecology </w:t>
            </w:r>
          </w:p>
        </w:tc>
      </w:tr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bookmarkStart w:id="9" w:name="_Hlk98245994"/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>1653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General Surgery</w:t>
            </w:r>
          </w:p>
        </w:tc>
      </w:tr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>6857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 xml:space="preserve">Ophthalmology </w:t>
            </w:r>
          </w:p>
        </w:tc>
      </w:tr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>2287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Urology</w:t>
            </w:r>
          </w:p>
        </w:tc>
      </w:tr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9503B">
              <w:rPr>
                <w:rFonts w:ascii="Arial" w:hAnsi="Arial" w:cs="Arial"/>
                <w:bCs/>
                <w:sz w:val="24"/>
                <w:szCs w:val="24"/>
              </w:rPr>
              <w:t>Maxillo</w:t>
            </w:r>
            <w:proofErr w:type="spellEnd"/>
            <w:r w:rsidRPr="00A9503B">
              <w:rPr>
                <w:rFonts w:ascii="Arial" w:hAnsi="Arial" w:cs="Arial"/>
                <w:bCs/>
                <w:sz w:val="24"/>
                <w:szCs w:val="24"/>
              </w:rPr>
              <w:t>- Facial</w:t>
            </w:r>
          </w:p>
        </w:tc>
      </w:tr>
      <w:tr w:rsidR="00A9503B" w:rsidRPr="00A9503B" w:rsidTr="006419DB">
        <w:tc>
          <w:tcPr>
            <w:tcW w:w="2610" w:type="dxa"/>
            <w:vMerge w:val="restart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</w:tr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>Plastic Surgery</w:t>
            </w:r>
          </w:p>
        </w:tc>
      </w:tr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>Neurosurgery</w:t>
            </w:r>
          </w:p>
        </w:tc>
      </w:tr>
      <w:bookmarkEnd w:id="9"/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>Paediatric Surgery</w:t>
            </w:r>
          </w:p>
        </w:tc>
      </w:tr>
    </w:tbl>
    <w:bookmarkEnd w:id="8"/>
    <w:p w:rsidR="00A9503B" w:rsidRPr="00A9503B" w:rsidRDefault="00A9503B" w:rsidP="00A9503B">
      <w:pPr>
        <w:pStyle w:val="ListParagraph"/>
        <w:spacing w:before="100" w:beforeAutospacing="1" w:after="100" w:afterAutospacing="1"/>
        <w:ind w:left="1985" w:hanging="567"/>
        <w:rPr>
          <w:rFonts w:ascii="Arial" w:hAnsi="Arial" w:cs="Arial"/>
        </w:rPr>
      </w:pPr>
      <w:r w:rsidRPr="00A9503B">
        <w:rPr>
          <w:rFonts w:ascii="Arial" w:hAnsi="Arial" w:cs="Arial"/>
        </w:rPr>
        <w:t>(</w:t>
      </w:r>
      <w:proofErr w:type="spellStart"/>
      <w:r w:rsidRPr="00A9503B">
        <w:rPr>
          <w:rFonts w:ascii="Arial" w:hAnsi="Arial" w:cs="Arial"/>
        </w:rPr>
        <w:t>i</w:t>
      </w:r>
      <w:proofErr w:type="spellEnd"/>
      <w:r w:rsidRPr="00A9503B">
        <w:rPr>
          <w:rFonts w:ascii="Arial" w:hAnsi="Arial" w:cs="Arial"/>
        </w:rPr>
        <w:t xml:space="preserve">) </w:t>
      </w:r>
      <w:r w:rsidRPr="00A9503B">
        <w:rPr>
          <w:rFonts w:ascii="Arial" w:hAnsi="Arial" w:cs="Arial"/>
        </w:rPr>
        <w:tab/>
        <w:t>The waiting time in Kwa Zulu-Natal facilities for non-essential surgery is as follows:</w:t>
      </w:r>
    </w:p>
    <w:p w:rsidR="00A9503B" w:rsidRPr="00A9503B" w:rsidRDefault="00A9503B" w:rsidP="00A9503B">
      <w:pPr>
        <w:pStyle w:val="ListParagraph"/>
        <w:spacing w:before="100" w:beforeAutospacing="1" w:after="100" w:afterAutospacing="1"/>
        <w:ind w:left="1985" w:hanging="567"/>
        <w:rPr>
          <w:rFonts w:ascii="Arial" w:hAnsi="Arial" w:cs="Arial"/>
        </w:rPr>
      </w:pP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240"/>
        <w:ind w:left="2699" w:hanging="646"/>
        <w:contextualSpacing w:val="0"/>
        <w:jc w:val="both"/>
        <w:rPr>
          <w:rFonts w:ascii="Arial" w:hAnsi="Arial" w:cs="Arial"/>
        </w:rPr>
      </w:pPr>
      <w:r w:rsidRPr="00A9503B">
        <w:rPr>
          <w:rFonts w:ascii="Arial" w:hAnsi="Arial" w:cs="Arial"/>
          <w:bCs/>
        </w:rPr>
        <w:t>Orthopaedics</w:t>
      </w:r>
      <w:r w:rsidRPr="00A9503B">
        <w:rPr>
          <w:rFonts w:ascii="Arial" w:hAnsi="Arial" w:cs="Arial"/>
        </w:rPr>
        <w:t xml:space="preserve"> surgery ranges between six (6) months to two (2) years.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240"/>
        <w:ind w:left="2699" w:hanging="646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>Obstetrics and Gynaecology ranges between three (3) months six (6) months.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120"/>
        <w:ind w:left="2699" w:hanging="646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 xml:space="preserve">General Surgery </w:t>
      </w:r>
      <w:bookmarkStart w:id="10" w:name="_Hlk97557377"/>
      <w:r w:rsidRPr="00A9503B">
        <w:rPr>
          <w:rFonts w:ascii="Arial" w:hAnsi="Arial" w:cs="Arial"/>
          <w:bCs/>
        </w:rPr>
        <w:t>ranges between six (6) months to one (1) year.</w:t>
      </w:r>
    </w:p>
    <w:bookmarkEnd w:id="10"/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120"/>
        <w:ind w:left="2699" w:hanging="646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>Urology ranges between twelve (12) months to three (3) years.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120"/>
        <w:ind w:left="2699" w:hanging="646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>ENT ranges between six (6) months to one (1) year.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120"/>
        <w:ind w:left="2699" w:hanging="646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>Plastic Surgery not provided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120"/>
        <w:ind w:left="2699" w:hanging="646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>Neurosurgery not provided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before="100" w:beforeAutospacing="1" w:after="100" w:afterAutospacing="1"/>
        <w:ind w:left="2694" w:hanging="644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>Paediatric Surgery not provided</w:t>
      </w:r>
    </w:p>
    <w:p w:rsidR="00A9503B" w:rsidRPr="00A9503B" w:rsidRDefault="00A9503B" w:rsidP="00A9503B">
      <w:pPr>
        <w:spacing w:before="100" w:beforeAutospacing="1" w:after="100" w:afterAutospacing="1" w:line="240" w:lineRule="auto"/>
        <w:ind w:left="2127" w:hanging="709"/>
        <w:jc w:val="both"/>
        <w:rPr>
          <w:rFonts w:ascii="Arial" w:hAnsi="Arial" w:cs="Arial"/>
          <w:bCs/>
          <w:sz w:val="24"/>
          <w:szCs w:val="24"/>
        </w:rPr>
      </w:pPr>
      <w:r w:rsidRPr="00A9503B">
        <w:rPr>
          <w:rFonts w:ascii="Arial" w:hAnsi="Arial" w:cs="Arial"/>
          <w:bCs/>
          <w:sz w:val="24"/>
          <w:szCs w:val="24"/>
        </w:rPr>
        <w:t>(ii)</w:t>
      </w:r>
      <w:r w:rsidRPr="00A9503B">
        <w:rPr>
          <w:rFonts w:ascii="Arial" w:hAnsi="Arial" w:cs="Arial"/>
          <w:bCs/>
          <w:sz w:val="24"/>
          <w:szCs w:val="24"/>
        </w:rPr>
        <w:tab/>
        <w:t xml:space="preserve">Ophthalmology which includes cataract surgery ranges </w:t>
      </w:r>
      <w:bookmarkStart w:id="11" w:name="_Hlk97557563"/>
      <w:r w:rsidRPr="00A9503B">
        <w:rPr>
          <w:rFonts w:ascii="Arial" w:hAnsi="Arial" w:cs="Arial"/>
          <w:bCs/>
          <w:sz w:val="24"/>
          <w:szCs w:val="24"/>
        </w:rPr>
        <w:t>between six (6) months to one (1) year.</w:t>
      </w:r>
    </w:p>
    <w:tbl>
      <w:tblPr>
        <w:tblStyle w:val="TableGrid"/>
        <w:tblW w:w="7650" w:type="dxa"/>
        <w:tblInd w:w="2122" w:type="dxa"/>
        <w:tblLook w:val="04A0"/>
      </w:tblPr>
      <w:tblGrid>
        <w:gridCol w:w="2610"/>
        <w:gridCol w:w="2520"/>
        <w:gridCol w:w="2520"/>
      </w:tblGrid>
      <w:tr w:rsidR="00A9503B" w:rsidRPr="00A9503B" w:rsidTr="006419DB">
        <w:tc>
          <w:tcPr>
            <w:tcW w:w="2610" w:type="dxa"/>
          </w:tcPr>
          <w:bookmarkEnd w:id="11"/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A9503B">
              <w:rPr>
                <w:rFonts w:ascii="Arial" w:hAnsi="Arial" w:cs="Arial"/>
                <w:b/>
                <w:bCs/>
              </w:rPr>
              <w:t>c(</w:t>
            </w:r>
            <w:proofErr w:type="spellStart"/>
            <w:r w:rsidRPr="00A9503B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A9503B">
              <w:rPr>
                <w:rFonts w:ascii="Arial" w:hAnsi="Arial" w:cs="Arial"/>
                <w:b/>
                <w:bCs/>
              </w:rPr>
              <w:t>)Number of delayed surgeries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/>
                <w:bCs/>
                <w:sz w:val="24"/>
                <w:szCs w:val="24"/>
              </w:rPr>
              <w:t>c)(ii)Type of surgery</w:t>
            </w:r>
          </w:p>
        </w:tc>
      </w:tr>
      <w:tr w:rsidR="00A9503B" w:rsidRPr="00A9503B" w:rsidTr="006419DB">
        <w:tc>
          <w:tcPr>
            <w:tcW w:w="2610" w:type="dxa"/>
            <w:vMerge w:val="restart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Limpopo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141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Orthopaedics</w:t>
            </w:r>
          </w:p>
        </w:tc>
      </w:tr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74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 xml:space="preserve">Obstetrics and Gynaecology </w:t>
            </w:r>
          </w:p>
        </w:tc>
      </w:tr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5000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 xml:space="preserve">Ophthalmology </w:t>
            </w:r>
          </w:p>
        </w:tc>
      </w:tr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97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Urology</w:t>
            </w:r>
          </w:p>
        </w:tc>
      </w:tr>
    </w:tbl>
    <w:p w:rsidR="00A9503B" w:rsidRPr="00A9503B" w:rsidRDefault="00A9503B" w:rsidP="00A9503B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</w:rPr>
      </w:pPr>
      <w:bookmarkStart w:id="12" w:name="_Hlk98244121"/>
      <w:r w:rsidRPr="00A9503B">
        <w:rPr>
          <w:rFonts w:ascii="Arial" w:hAnsi="Arial" w:cs="Arial"/>
        </w:rPr>
        <w:t>The waiting time in Limpopo facilities for non-essential surgery is as follows:</w:t>
      </w:r>
    </w:p>
    <w:p w:rsidR="00A9503B" w:rsidRPr="00A9503B" w:rsidRDefault="00A9503B" w:rsidP="00A9503B">
      <w:pPr>
        <w:pStyle w:val="ListParagraph"/>
        <w:spacing w:before="100" w:beforeAutospacing="1" w:after="100" w:afterAutospacing="1"/>
        <w:ind w:left="2160"/>
        <w:rPr>
          <w:rFonts w:ascii="Arial" w:hAnsi="Arial" w:cs="Arial"/>
        </w:rPr>
      </w:pPr>
    </w:p>
    <w:p w:rsidR="00A9503B" w:rsidRPr="00A9503B" w:rsidRDefault="00A9503B" w:rsidP="00A9503B">
      <w:pPr>
        <w:pStyle w:val="ListParagraph"/>
        <w:numPr>
          <w:ilvl w:val="0"/>
          <w:numId w:val="16"/>
        </w:numPr>
        <w:ind w:left="2552"/>
        <w:contextualSpacing w:val="0"/>
        <w:jc w:val="both"/>
        <w:rPr>
          <w:rFonts w:ascii="Arial" w:hAnsi="Arial" w:cs="Arial"/>
        </w:rPr>
      </w:pPr>
      <w:r w:rsidRPr="00A9503B">
        <w:rPr>
          <w:rFonts w:ascii="Arial" w:hAnsi="Arial" w:cs="Arial"/>
          <w:bCs/>
        </w:rPr>
        <w:t>Orthopaedics</w:t>
      </w:r>
      <w:r w:rsidRPr="00A9503B">
        <w:rPr>
          <w:rFonts w:ascii="Arial" w:hAnsi="Arial" w:cs="Arial"/>
        </w:rPr>
        <w:t xml:space="preserve"> surgery ranges between six (6) months to two (2) years.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before="100" w:beforeAutospacing="1" w:after="100" w:afterAutospacing="1"/>
        <w:ind w:left="2552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>Obstetrics and Gynaecology ranges between six (6) months to one (1) year.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before="100" w:beforeAutospacing="1" w:after="100" w:afterAutospacing="1"/>
        <w:ind w:left="2552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>Urology ranges between six (6) months to one (1) year.</w:t>
      </w:r>
    </w:p>
    <w:p w:rsidR="00A9503B" w:rsidRPr="00A9503B" w:rsidRDefault="00A9503B" w:rsidP="00A9503B">
      <w:pPr>
        <w:spacing w:before="100" w:beforeAutospacing="1" w:after="100" w:afterAutospacing="1" w:line="240" w:lineRule="auto"/>
        <w:ind w:left="2127" w:hanging="709"/>
        <w:jc w:val="both"/>
        <w:rPr>
          <w:rFonts w:ascii="Arial" w:hAnsi="Arial" w:cs="Arial"/>
          <w:bCs/>
          <w:sz w:val="24"/>
          <w:szCs w:val="24"/>
        </w:rPr>
      </w:pPr>
      <w:r w:rsidRPr="00A9503B">
        <w:rPr>
          <w:rFonts w:ascii="Arial" w:hAnsi="Arial" w:cs="Arial"/>
          <w:bCs/>
          <w:sz w:val="24"/>
          <w:szCs w:val="24"/>
        </w:rPr>
        <w:t xml:space="preserve">(ii) </w:t>
      </w:r>
      <w:r w:rsidRPr="00A9503B">
        <w:rPr>
          <w:rFonts w:ascii="Arial" w:hAnsi="Arial" w:cs="Arial"/>
          <w:bCs/>
          <w:sz w:val="24"/>
          <w:szCs w:val="24"/>
        </w:rPr>
        <w:tab/>
        <w:t xml:space="preserve">Ophthalmology which includes cataract surgery ranges between one (1) year to </w:t>
      </w:r>
      <w:proofErr w:type="gramStart"/>
      <w:r w:rsidRPr="00A9503B">
        <w:rPr>
          <w:rFonts w:ascii="Arial" w:hAnsi="Arial" w:cs="Arial"/>
          <w:bCs/>
          <w:sz w:val="24"/>
          <w:szCs w:val="24"/>
        </w:rPr>
        <w:t>four(</w:t>
      </w:r>
      <w:proofErr w:type="gramEnd"/>
      <w:r w:rsidRPr="00A9503B">
        <w:rPr>
          <w:rFonts w:ascii="Arial" w:hAnsi="Arial" w:cs="Arial"/>
          <w:bCs/>
          <w:sz w:val="24"/>
          <w:szCs w:val="24"/>
        </w:rPr>
        <w:t>years)</w:t>
      </w:r>
    </w:p>
    <w:tbl>
      <w:tblPr>
        <w:tblStyle w:val="TableGrid"/>
        <w:tblW w:w="7650" w:type="dxa"/>
        <w:tblInd w:w="2122" w:type="dxa"/>
        <w:tblLook w:val="04A0"/>
      </w:tblPr>
      <w:tblGrid>
        <w:gridCol w:w="2610"/>
        <w:gridCol w:w="2520"/>
        <w:gridCol w:w="2520"/>
      </w:tblGrid>
      <w:tr w:rsidR="00A9503B" w:rsidRPr="00A9503B" w:rsidTr="006419DB">
        <w:tc>
          <w:tcPr>
            <w:tcW w:w="261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br w:type="page"/>
            </w:r>
            <w:bookmarkEnd w:id="12"/>
            <w:r w:rsidRPr="00A9503B">
              <w:rPr>
                <w:rFonts w:ascii="Arial" w:hAnsi="Arial" w:cs="Arial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/>
                <w:bCs/>
                <w:sz w:val="24"/>
                <w:szCs w:val="24"/>
              </w:rPr>
              <w:t>c(</w:t>
            </w:r>
            <w:proofErr w:type="spellStart"/>
            <w:r w:rsidRPr="00A9503B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A9503B">
              <w:rPr>
                <w:rFonts w:ascii="Arial" w:hAnsi="Arial" w:cs="Arial"/>
                <w:b/>
                <w:bCs/>
                <w:sz w:val="24"/>
                <w:szCs w:val="24"/>
              </w:rPr>
              <w:t>)Number of delayed surgeries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/>
                <w:bCs/>
                <w:sz w:val="24"/>
                <w:szCs w:val="24"/>
              </w:rPr>
              <w:t>c)(ii)Type of surgery</w:t>
            </w:r>
          </w:p>
        </w:tc>
      </w:tr>
      <w:tr w:rsidR="00A9503B" w:rsidRPr="00A9503B" w:rsidTr="006419DB">
        <w:tc>
          <w:tcPr>
            <w:tcW w:w="2610" w:type="dxa"/>
            <w:vMerge w:val="restart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Mpumalanga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325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Orthopaedics</w:t>
            </w:r>
          </w:p>
        </w:tc>
      </w:tr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369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 xml:space="preserve">Obstetrics and Gynaecology </w:t>
            </w:r>
          </w:p>
        </w:tc>
      </w:tr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General Surgery</w:t>
            </w:r>
          </w:p>
        </w:tc>
      </w:tr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>1913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 xml:space="preserve">Ophthalmology </w:t>
            </w:r>
          </w:p>
        </w:tc>
      </w:tr>
    </w:tbl>
    <w:p w:rsidR="00A9503B" w:rsidRPr="00A9503B" w:rsidRDefault="00A9503B" w:rsidP="00A9503B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</w:rPr>
      </w:pPr>
      <w:r w:rsidRPr="00A9503B">
        <w:rPr>
          <w:rFonts w:ascii="Arial" w:hAnsi="Arial" w:cs="Arial"/>
        </w:rPr>
        <w:t>The waiting time in Mpumalanga facilities for non-essential surgery is as follows:</w:t>
      </w:r>
    </w:p>
    <w:p w:rsidR="00A9503B" w:rsidRPr="00A9503B" w:rsidRDefault="00A9503B" w:rsidP="00A9503B">
      <w:pPr>
        <w:pStyle w:val="ListParagraph"/>
        <w:spacing w:before="100" w:beforeAutospacing="1" w:after="100" w:afterAutospacing="1"/>
        <w:ind w:left="2138"/>
        <w:rPr>
          <w:rFonts w:ascii="Arial" w:hAnsi="Arial" w:cs="Arial"/>
        </w:rPr>
      </w:pP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120"/>
        <w:ind w:left="2410" w:hanging="357"/>
        <w:contextualSpacing w:val="0"/>
        <w:jc w:val="both"/>
        <w:rPr>
          <w:rFonts w:ascii="Arial" w:hAnsi="Arial" w:cs="Arial"/>
        </w:rPr>
      </w:pPr>
      <w:r w:rsidRPr="00A9503B">
        <w:rPr>
          <w:rFonts w:ascii="Arial" w:hAnsi="Arial" w:cs="Arial"/>
          <w:bCs/>
        </w:rPr>
        <w:t>Orthopaedics</w:t>
      </w:r>
      <w:r w:rsidRPr="00A9503B">
        <w:rPr>
          <w:rFonts w:ascii="Arial" w:hAnsi="Arial" w:cs="Arial"/>
        </w:rPr>
        <w:t xml:space="preserve"> surgery ranges between seven (7) days to one (1) year.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120"/>
        <w:ind w:left="2410" w:hanging="357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>Obstetrics and Gynaecology ranges between four (4) weeks to six (6) months.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120"/>
        <w:ind w:left="2410" w:hanging="357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>General Surgery is one (1) year.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before="100" w:beforeAutospacing="1" w:after="100" w:afterAutospacing="1"/>
        <w:ind w:left="2410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>Urology ranges between six (6) months to one (1) year.</w:t>
      </w:r>
    </w:p>
    <w:p w:rsidR="00A9503B" w:rsidRPr="00A9503B" w:rsidRDefault="00A9503B" w:rsidP="00A9503B">
      <w:pPr>
        <w:spacing w:before="100" w:beforeAutospacing="1" w:after="100" w:afterAutospacing="1" w:line="240" w:lineRule="auto"/>
        <w:ind w:left="1985" w:hanging="567"/>
        <w:jc w:val="both"/>
        <w:rPr>
          <w:rFonts w:ascii="Arial" w:hAnsi="Arial" w:cs="Arial"/>
          <w:bCs/>
          <w:sz w:val="24"/>
          <w:szCs w:val="24"/>
        </w:rPr>
      </w:pPr>
      <w:r w:rsidRPr="00A9503B">
        <w:rPr>
          <w:rFonts w:ascii="Arial" w:hAnsi="Arial" w:cs="Arial"/>
          <w:bCs/>
          <w:sz w:val="24"/>
          <w:szCs w:val="24"/>
        </w:rPr>
        <w:t xml:space="preserve">(ii) </w:t>
      </w:r>
      <w:r w:rsidRPr="00A9503B">
        <w:rPr>
          <w:rFonts w:ascii="Arial" w:hAnsi="Arial" w:cs="Arial"/>
          <w:bCs/>
          <w:sz w:val="24"/>
          <w:szCs w:val="24"/>
        </w:rPr>
        <w:tab/>
        <w:t>Ophthalmology which includes cataract surgery ranges between four (4) weeks to one (1) year.</w:t>
      </w:r>
    </w:p>
    <w:tbl>
      <w:tblPr>
        <w:tblStyle w:val="TableGrid"/>
        <w:tblW w:w="7650" w:type="dxa"/>
        <w:tblInd w:w="2122" w:type="dxa"/>
        <w:tblLook w:val="04A0"/>
      </w:tblPr>
      <w:tblGrid>
        <w:gridCol w:w="2610"/>
        <w:gridCol w:w="2520"/>
        <w:gridCol w:w="2520"/>
      </w:tblGrid>
      <w:tr w:rsidR="00A9503B" w:rsidRPr="00A9503B" w:rsidTr="006419DB">
        <w:tc>
          <w:tcPr>
            <w:tcW w:w="261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A9503B">
              <w:rPr>
                <w:rFonts w:ascii="Arial" w:hAnsi="Arial" w:cs="Arial"/>
                <w:b/>
                <w:bCs/>
              </w:rPr>
              <w:t>c(</w:t>
            </w:r>
            <w:proofErr w:type="spellStart"/>
            <w:r w:rsidRPr="00A9503B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A9503B">
              <w:rPr>
                <w:rFonts w:ascii="Arial" w:hAnsi="Arial" w:cs="Arial"/>
                <w:b/>
                <w:bCs/>
              </w:rPr>
              <w:t>)Number of delayed surgeries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/>
                <w:bCs/>
                <w:sz w:val="24"/>
                <w:szCs w:val="24"/>
              </w:rPr>
              <w:t>c)(ii)Type of surgery</w:t>
            </w:r>
          </w:p>
        </w:tc>
      </w:tr>
      <w:tr w:rsidR="00A9503B" w:rsidRPr="00A9503B" w:rsidTr="006419DB">
        <w:tc>
          <w:tcPr>
            <w:tcW w:w="2610" w:type="dxa"/>
            <w:vMerge w:val="restart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 xml:space="preserve">Northern Cape 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425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Orthopaedics</w:t>
            </w:r>
          </w:p>
        </w:tc>
      </w:tr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190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 xml:space="preserve">Obstetrics and Gynaecology </w:t>
            </w:r>
          </w:p>
        </w:tc>
      </w:tr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492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General Surgery</w:t>
            </w:r>
          </w:p>
        </w:tc>
      </w:tr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1440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 xml:space="preserve">Ophthalmology </w:t>
            </w:r>
          </w:p>
        </w:tc>
      </w:tr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471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Urology</w:t>
            </w:r>
          </w:p>
        </w:tc>
      </w:tr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750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</w:tr>
      <w:tr w:rsidR="00A9503B" w:rsidRPr="00A9503B" w:rsidTr="006419DB">
        <w:tc>
          <w:tcPr>
            <w:tcW w:w="2610" w:type="dxa"/>
            <w:vMerge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sz w:val="24"/>
                <w:szCs w:val="24"/>
              </w:rPr>
              <w:t>Plastic Surgery</w:t>
            </w:r>
          </w:p>
        </w:tc>
      </w:tr>
      <w:tr w:rsidR="00A9503B" w:rsidRPr="00A9503B" w:rsidTr="006419DB">
        <w:tc>
          <w:tcPr>
            <w:tcW w:w="261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9503B">
              <w:rPr>
                <w:rFonts w:ascii="Arial" w:hAnsi="Arial" w:cs="Arial"/>
                <w:bCs/>
                <w:sz w:val="24"/>
                <w:szCs w:val="24"/>
              </w:rPr>
              <w:t>62</w:t>
            </w:r>
          </w:p>
        </w:tc>
        <w:tc>
          <w:tcPr>
            <w:tcW w:w="2520" w:type="dxa"/>
          </w:tcPr>
          <w:p w:rsidR="00A9503B" w:rsidRPr="00A9503B" w:rsidRDefault="00A9503B" w:rsidP="006419D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503B">
              <w:rPr>
                <w:rFonts w:ascii="Arial" w:hAnsi="Arial" w:cs="Arial"/>
                <w:sz w:val="24"/>
                <w:szCs w:val="24"/>
              </w:rPr>
              <w:t>Maxillo</w:t>
            </w:r>
            <w:proofErr w:type="spellEnd"/>
            <w:r w:rsidRPr="00A9503B">
              <w:rPr>
                <w:rFonts w:ascii="Arial" w:hAnsi="Arial" w:cs="Arial"/>
                <w:sz w:val="24"/>
                <w:szCs w:val="24"/>
              </w:rPr>
              <w:t xml:space="preserve"> Facial</w:t>
            </w:r>
          </w:p>
        </w:tc>
      </w:tr>
    </w:tbl>
    <w:p w:rsidR="00A9503B" w:rsidRPr="00A9503B" w:rsidRDefault="00A9503B" w:rsidP="00A9503B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A9503B">
        <w:rPr>
          <w:rFonts w:ascii="Arial" w:hAnsi="Arial" w:cs="Arial"/>
        </w:rPr>
        <w:t>The waiting time in Northern Cape facilities for non-essential surgery is as follows:</w:t>
      </w:r>
    </w:p>
    <w:p w:rsidR="00A9503B" w:rsidRPr="00A9503B" w:rsidRDefault="00A9503B" w:rsidP="00A9503B">
      <w:pPr>
        <w:pStyle w:val="ListParagraph"/>
        <w:spacing w:before="100" w:beforeAutospacing="1" w:after="100" w:afterAutospacing="1"/>
        <w:ind w:left="2138"/>
        <w:rPr>
          <w:rFonts w:ascii="Arial" w:hAnsi="Arial" w:cs="Arial"/>
        </w:rPr>
      </w:pP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120"/>
        <w:ind w:left="2551" w:hanging="357"/>
        <w:contextualSpacing w:val="0"/>
        <w:jc w:val="both"/>
        <w:rPr>
          <w:rFonts w:ascii="Arial" w:hAnsi="Arial" w:cs="Arial"/>
        </w:rPr>
      </w:pPr>
      <w:r w:rsidRPr="00A9503B">
        <w:rPr>
          <w:rFonts w:ascii="Arial" w:hAnsi="Arial" w:cs="Arial"/>
          <w:bCs/>
        </w:rPr>
        <w:t>Orthopaedics</w:t>
      </w:r>
      <w:r w:rsidRPr="00A9503B">
        <w:rPr>
          <w:rFonts w:ascii="Arial" w:hAnsi="Arial" w:cs="Arial"/>
        </w:rPr>
        <w:t xml:space="preserve"> surgery ranges between two (2) days to three (3) months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120"/>
        <w:ind w:left="2551" w:hanging="357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>Obstetrics and Gynaecology not specified.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120"/>
        <w:ind w:left="2551" w:hanging="357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>General Surgery not specified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120"/>
        <w:ind w:left="2551" w:hanging="357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>Urology ranges one (1) year eight (8) months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after="120"/>
        <w:ind w:left="2551" w:hanging="357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>ENT not specified</w:t>
      </w:r>
    </w:p>
    <w:p w:rsidR="00A9503B" w:rsidRPr="00A9503B" w:rsidRDefault="00A9503B" w:rsidP="00A9503B">
      <w:pPr>
        <w:pStyle w:val="ListParagraph"/>
        <w:numPr>
          <w:ilvl w:val="0"/>
          <w:numId w:val="16"/>
        </w:numPr>
        <w:spacing w:before="100" w:beforeAutospacing="1" w:after="100" w:afterAutospacing="1"/>
        <w:ind w:left="2552"/>
        <w:contextualSpacing w:val="0"/>
        <w:jc w:val="both"/>
        <w:rPr>
          <w:rFonts w:ascii="Arial" w:hAnsi="Arial" w:cs="Arial"/>
          <w:bCs/>
        </w:rPr>
      </w:pPr>
      <w:r w:rsidRPr="00A9503B">
        <w:rPr>
          <w:rFonts w:ascii="Arial" w:hAnsi="Arial" w:cs="Arial"/>
          <w:bCs/>
        </w:rPr>
        <w:t>Plastic Surgery not specified</w:t>
      </w:r>
    </w:p>
    <w:p w:rsidR="00A9503B" w:rsidRPr="00A9503B" w:rsidRDefault="00A9503B" w:rsidP="00A9503B">
      <w:pPr>
        <w:spacing w:before="100" w:beforeAutospacing="1" w:after="100" w:afterAutospacing="1" w:line="240" w:lineRule="auto"/>
        <w:ind w:left="2127" w:hanging="709"/>
        <w:jc w:val="both"/>
        <w:rPr>
          <w:rFonts w:ascii="Arial" w:hAnsi="Arial" w:cs="Arial"/>
          <w:bCs/>
          <w:sz w:val="24"/>
          <w:szCs w:val="24"/>
        </w:rPr>
      </w:pPr>
      <w:r w:rsidRPr="00A9503B">
        <w:rPr>
          <w:rFonts w:ascii="Arial" w:hAnsi="Arial" w:cs="Arial"/>
          <w:bCs/>
          <w:sz w:val="24"/>
          <w:szCs w:val="24"/>
        </w:rPr>
        <w:t xml:space="preserve">(ii) </w:t>
      </w:r>
      <w:r w:rsidRPr="00A9503B">
        <w:rPr>
          <w:rFonts w:ascii="Arial" w:hAnsi="Arial" w:cs="Arial"/>
          <w:bCs/>
          <w:sz w:val="24"/>
          <w:szCs w:val="24"/>
        </w:rPr>
        <w:tab/>
        <w:t>Ophthalmology which includes cataract surgery ranges between two (2) to three (3) years.</w:t>
      </w:r>
    </w:p>
    <w:p w:rsidR="00FD6DC1" w:rsidRPr="00A9503B" w:rsidRDefault="00A9503B" w:rsidP="00A9503B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</w:rPr>
      </w:pPr>
      <w:r w:rsidRPr="00A9503B">
        <w:rPr>
          <w:rFonts w:ascii="Arial" w:hAnsi="Arial" w:cs="Arial"/>
          <w:bCs/>
        </w:rPr>
        <w:t>We still await information from the Eastern Cape, Gauteng, Northwest, and Western Cape Provinces. This will be furnished to Parliament as soon as it is received.</w:t>
      </w:r>
    </w:p>
    <w:p w:rsidR="00E84016" w:rsidRPr="00A07C4E" w:rsidRDefault="005A77EA">
      <w:pPr>
        <w:rPr>
          <w:rFonts w:ascii="Arial" w:hAnsi="Arial" w:cs="Arial"/>
          <w:sz w:val="24"/>
          <w:szCs w:val="24"/>
        </w:rPr>
      </w:pPr>
    </w:p>
    <w:sectPr w:rsidR="00E84016" w:rsidRPr="00A07C4E" w:rsidSect="00B64BF5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7E84"/>
    <w:multiLevelType w:val="hybridMultilevel"/>
    <w:tmpl w:val="129AF3D2"/>
    <w:lvl w:ilvl="0" w:tplc="5B568DB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734C2F"/>
    <w:multiLevelType w:val="hybridMultilevel"/>
    <w:tmpl w:val="90F6B610"/>
    <w:lvl w:ilvl="0" w:tplc="C6C054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E5A2E"/>
    <w:multiLevelType w:val="hybridMultilevel"/>
    <w:tmpl w:val="CEC63B38"/>
    <w:lvl w:ilvl="0" w:tplc="F7425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2ED6"/>
    <w:multiLevelType w:val="hybridMultilevel"/>
    <w:tmpl w:val="0BC6F0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CA6908"/>
    <w:multiLevelType w:val="hybridMultilevel"/>
    <w:tmpl w:val="ECF89D54"/>
    <w:lvl w:ilvl="0" w:tplc="0E8204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336F80"/>
    <w:multiLevelType w:val="hybridMultilevel"/>
    <w:tmpl w:val="B0E84F2C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E55873"/>
    <w:multiLevelType w:val="hybridMultilevel"/>
    <w:tmpl w:val="66C060FE"/>
    <w:lvl w:ilvl="0" w:tplc="CEE8298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95A4495"/>
    <w:multiLevelType w:val="hybridMultilevel"/>
    <w:tmpl w:val="5AAE5BE0"/>
    <w:lvl w:ilvl="0" w:tplc="96140F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A9635D"/>
    <w:multiLevelType w:val="hybridMultilevel"/>
    <w:tmpl w:val="88549374"/>
    <w:lvl w:ilvl="0" w:tplc="50786F48">
      <w:start w:val="1"/>
      <w:numFmt w:val="lowerLetter"/>
      <w:lvlText w:val="(%1)"/>
      <w:lvlJc w:val="left"/>
      <w:pPr>
        <w:ind w:left="3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4BD32B0A"/>
    <w:multiLevelType w:val="hybridMultilevel"/>
    <w:tmpl w:val="18F6E13A"/>
    <w:lvl w:ilvl="0" w:tplc="107E17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D48A3"/>
    <w:multiLevelType w:val="multilevel"/>
    <w:tmpl w:val="A64067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>
    <w:nsid w:val="51A276A4"/>
    <w:multiLevelType w:val="hybridMultilevel"/>
    <w:tmpl w:val="835E2A40"/>
    <w:lvl w:ilvl="0" w:tplc="211C7CA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D1244"/>
    <w:multiLevelType w:val="hybridMultilevel"/>
    <w:tmpl w:val="F0628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F2FCC"/>
    <w:multiLevelType w:val="hybridMultilevel"/>
    <w:tmpl w:val="B9A2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E5759"/>
    <w:multiLevelType w:val="hybridMultilevel"/>
    <w:tmpl w:val="ABD23F8C"/>
    <w:lvl w:ilvl="0" w:tplc="DDEC2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D6895"/>
    <w:multiLevelType w:val="hybridMultilevel"/>
    <w:tmpl w:val="9872DB46"/>
    <w:lvl w:ilvl="0" w:tplc="2000EFBC">
      <w:start w:val="5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4EC7B4C"/>
    <w:multiLevelType w:val="hybridMultilevel"/>
    <w:tmpl w:val="744E4DE2"/>
    <w:lvl w:ilvl="0" w:tplc="F530DA3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04940"/>
    <w:multiLevelType w:val="hybridMultilevel"/>
    <w:tmpl w:val="3F669370"/>
    <w:lvl w:ilvl="0" w:tplc="6B5036D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ADE785C"/>
    <w:multiLevelType w:val="hybridMultilevel"/>
    <w:tmpl w:val="1C1A8A2A"/>
    <w:lvl w:ilvl="0" w:tplc="033A430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15"/>
  </w:num>
  <w:num w:numId="6">
    <w:abstractNumId w:val="9"/>
  </w:num>
  <w:num w:numId="7">
    <w:abstractNumId w:val="16"/>
  </w:num>
  <w:num w:numId="8">
    <w:abstractNumId w:val="7"/>
  </w:num>
  <w:num w:numId="9">
    <w:abstractNumId w:val="12"/>
  </w:num>
  <w:num w:numId="10">
    <w:abstractNumId w:val="10"/>
  </w:num>
  <w:num w:numId="11">
    <w:abstractNumId w:val="13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  <w:num w:numId="16">
    <w:abstractNumId w:val="3"/>
  </w:num>
  <w:num w:numId="17">
    <w:abstractNumId w:val="18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D6DC1"/>
    <w:rsid w:val="00037963"/>
    <w:rsid w:val="000A0548"/>
    <w:rsid w:val="000F46BE"/>
    <w:rsid w:val="002D3905"/>
    <w:rsid w:val="003F2493"/>
    <w:rsid w:val="003F7EAF"/>
    <w:rsid w:val="0042625E"/>
    <w:rsid w:val="004B2D10"/>
    <w:rsid w:val="00547E69"/>
    <w:rsid w:val="00582D96"/>
    <w:rsid w:val="005A77EA"/>
    <w:rsid w:val="00703070"/>
    <w:rsid w:val="008F426B"/>
    <w:rsid w:val="009A5319"/>
    <w:rsid w:val="009E3650"/>
    <w:rsid w:val="00A07C4E"/>
    <w:rsid w:val="00A9503B"/>
    <w:rsid w:val="00AD09BD"/>
    <w:rsid w:val="00B64BF5"/>
    <w:rsid w:val="00CB0CD6"/>
    <w:rsid w:val="00CD1883"/>
    <w:rsid w:val="00D737B8"/>
    <w:rsid w:val="00E12761"/>
    <w:rsid w:val="00E17D06"/>
    <w:rsid w:val="00E25E57"/>
    <w:rsid w:val="00EE7F7B"/>
    <w:rsid w:val="00F74F66"/>
    <w:rsid w:val="00F76732"/>
    <w:rsid w:val="00FD6DC1"/>
    <w:rsid w:val="00FE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40" w:line="360" w:lineRule="auto"/>
        <w:ind w:left="1701" w:hanging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C1"/>
    <w:pPr>
      <w:spacing w:after="160" w:line="259" w:lineRule="auto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6DC1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FD6DC1"/>
    <w:pPr>
      <w:spacing w:after="0" w:line="240" w:lineRule="auto"/>
      <w:ind w:left="720"/>
      <w:contextualSpacing/>
    </w:pPr>
    <w:rPr>
      <w:rFonts w:ascii="Calibri" w:eastAsia="SimSun" w:hAnsi="Calibri" w:cs="Times New Roman"/>
      <w:sz w:val="24"/>
      <w:szCs w:val="24"/>
      <w:lang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6DC1"/>
    <w:rPr>
      <w:rFonts w:ascii="Calibri" w:eastAsia="SimSun" w:hAnsi="Calibri" w:cs="Times New Roman"/>
      <w:lang w:eastAsia="en-ZA"/>
    </w:rPr>
  </w:style>
  <w:style w:type="character" w:styleId="Emphasis">
    <w:name w:val="Emphasis"/>
    <w:basedOn w:val="DefaultParagraphFont"/>
    <w:uiPriority w:val="20"/>
    <w:qFormat/>
    <w:rsid w:val="00FD6DC1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rsid w:val="00FD6DC1"/>
    <w:rPr>
      <w:rFonts w:eastAsia="Times New Roman"/>
      <w:b/>
      <w:bCs/>
      <w:sz w:val="12"/>
      <w:lang w:val="en-US"/>
    </w:rPr>
  </w:style>
  <w:style w:type="paragraph" w:styleId="BodyText">
    <w:name w:val="Body Text"/>
    <w:basedOn w:val="Normal"/>
    <w:link w:val="BodyTextChar"/>
    <w:rsid w:val="00FD6DC1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D6DC1"/>
    <w:rPr>
      <w:rFonts w:eastAsia="Times New Roman"/>
      <w:sz w:val="22"/>
      <w:lang w:val="en-US"/>
    </w:rPr>
  </w:style>
  <w:style w:type="table" w:styleId="TableGrid">
    <w:name w:val="Table Grid"/>
    <w:basedOn w:val="TableNormal"/>
    <w:uiPriority w:val="59"/>
    <w:rsid w:val="002D3905"/>
    <w:pPr>
      <w:spacing w:after="0" w:line="240" w:lineRule="auto"/>
      <w:ind w:lef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msonormal">
    <w:name w:val="x_msonormal"/>
    <w:basedOn w:val="Normal"/>
    <w:rsid w:val="004B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msolistparagraph">
    <w:name w:val="x_msolistparagraph"/>
    <w:basedOn w:val="Normal"/>
    <w:rsid w:val="004B2D10"/>
    <w:pPr>
      <w:spacing w:after="0" w:line="240" w:lineRule="auto"/>
      <w:ind w:left="720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dcterms:created xsi:type="dcterms:W3CDTF">2022-03-18T11:29:00Z</dcterms:created>
  <dcterms:modified xsi:type="dcterms:W3CDTF">2022-03-18T11:29:00Z</dcterms:modified>
</cp:coreProperties>
</file>