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89" w:rsidRPr="00EE7289" w:rsidRDefault="00EE7289" w:rsidP="00EE7289">
      <w:pPr>
        <w:spacing w:after="0" w:line="240" w:lineRule="auto"/>
        <w:rPr>
          <w:rFonts w:ascii="Arial" w:hAnsi="Arial" w:cs="Arial"/>
          <w:b/>
          <w:sz w:val="20"/>
          <w:szCs w:val="20"/>
        </w:rPr>
      </w:pPr>
      <w:r w:rsidRPr="00EE7289">
        <w:rPr>
          <w:rFonts w:ascii="Arial" w:hAnsi="Arial" w:cs="Arial"/>
          <w:b/>
          <w:sz w:val="20"/>
          <w:szCs w:val="20"/>
        </w:rPr>
        <w:t>NATIONAL ASSEMBLY</w:t>
      </w:r>
    </w:p>
    <w:p w:rsidR="00EE7289" w:rsidRPr="00EE7289" w:rsidRDefault="00EE7289" w:rsidP="00EE7289">
      <w:pPr>
        <w:spacing w:after="0" w:line="240" w:lineRule="auto"/>
        <w:rPr>
          <w:rFonts w:ascii="Arial" w:hAnsi="Arial" w:cs="Arial"/>
          <w:b/>
          <w:sz w:val="20"/>
          <w:szCs w:val="20"/>
        </w:rPr>
      </w:pPr>
      <w:r w:rsidRPr="00EE7289">
        <w:rPr>
          <w:rFonts w:ascii="Arial" w:hAnsi="Arial" w:cs="Arial"/>
          <w:b/>
          <w:sz w:val="20"/>
          <w:szCs w:val="20"/>
        </w:rPr>
        <w:t xml:space="preserve"> FOR WRITTEN REPLY </w:t>
      </w:r>
    </w:p>
    <w:p w:rsidR="00EE7289" w:rsidRPr="00EE7289" w:rsidRDefault="00EE7289" w:rsidP="00EE7289">
      <w:pPr>
        <w:spacing w:after="0" w:line="240" w:lineRule="auto"/>
        <w:rPr>
          <w:rFonts w:ascii="Arial" w:hAnsi="Arial" w:cs="Arial"/>
          <w:b/>
          <w:sz w:val="20"/>
          <w:szCs w:val="20"/>
        </w:rPr>
      </w:pPr>
      <w:r w:rsidRPr="00EE7289">
        <w:rPr>
          <w:rFonts w:ascii="Arial" w:hAnsi="Arial" w:cs="Arial"/>
          <w:b/>
          <w:sz w:val="20"/>
          <w:szCs w:val="20"/>
        </w:rPr>
        <w:t xml:space="preserve">QUESTION NO. 4566 DATE OF PUBLICATION IN INTERNAL QUESTION PAPER: 25 NOVEMBER 2022 (INTERNAL QUESTION PAPER NO. 50) </w:t>
      </w:r>
    </w:p>
    <w:p w:rsidR="00EE7289" w:rsidRPr="00EE7289" w:rsidRDefault="00EE7289" w:rsidP="00EE7289">
      <w:pPr>
        <w:spacing w:after="0" w:line="240" w:lineRule="auto"/>
        <w:rPr>
          <w:rFonts w:ascii="Arial" w:hAnsi="Arial" w:cs="Arial"/>
          <w:b/>
          <w:sz w:val="20"/>
          <w:szCs w:val="20"/>
        </w:rPr>
      </w:pPr>
    </w:p>
    <w:p w:rsidR="00EE7289" w:rsidRPr="00EE7289" w:rsidRDefault="00EE7289" w:rsidP="00EE7289">
      <w:pPr>
        <w:spacing w:after="0" w:line="240" w:lineRule="auto"/>
        <w:rPr>
          <w:rFonts w:ascii="Arial" w:hAnsi="Arial" w:cs="Arial"/>
          <w:b/>
          <w:sz w:val="20"/>
          <w:szCs w:val="20"/>
        </w:rPr>
      </w:pPr>
      <w:r w:rsidRPr="00EE7289">
        <w:rPr>
          <w:rFonts w:ascii="Arial" w:hAnsi="Arial" w:cs="Arial"/>
          <w:b/>
          <w:sz w:val="20"/>
          <w:szCs w:val="20"/>
        </w:rPr>
        <w:t xml:space="preserve">Ms N </w:t>
      </w:r>
      <w:proofErr w:type="spellStart"/>
      <w:r w:rsidRPr="00EE7289">
        <w:rPr>
          <w:rFonts w:ascii="Arial" w:hAnsi="Arial" w:cs="Arial"/>
          <w:b/>
          <w:sz w:val="20"/>
          <w:szCs w:val="20"/>
        </w:rPr>
        <w:t>N</w:t>
      </w:r>
      <w:proofErr w:type="spellEnd"/>
      <w:r w:rsidRPr="00EE7289">
        <w:rPr>
          <w:rFonts w:ascii="Arial" w:hAnsi="Arial" w:cs="Arial"/>
          <w:b/>
          <w:sz w:val="20"/>
          <w:szCs w:val="20"/>
        </w:rPr>
        <w:t xml:space="preserve"> </w:t>
      </w:r>
      <w:proofErr w:type="spellStart"/>
      <w:r w:rsidRPr="00EE7289">
        <w:rPr>
          <w:rFonts w:ascii="Arial" w:hAnsi="Arial" w:cs="Arial"/>
          <w:b/>
          <w:sz w:val="20"/>
          <w:szCs w:val="20"/>
        </w:rPr>
        <w:t>Chirwa</w:t>
      </w:r>
      <w:proofErr w:type="spellEnd"/>
      <w:r w:rsidRPr="00EE7289">
        <w:rPr>
          <w:rFonts w:ascii="Arial" w:hAnsi="Arial" w:cs="Arial"/>
          <w:b/>
          <w:sz w:val="20"/>
          <w:szCs w:val="20"/>
        </w:rPr>
        <w:t xml:space="preserve"> (EFF) to ask the Minister of Health: </w:t>
      </w:r>
    </w:p>
    <w:p w:rsidR="00EE7289" w:rsidRPr="00EE7289" w:rsidRDefault="00EE7289" w:rsidP="00EE7289">
      <w:pPr>
        <w:spacing w:after="0" w:line="240" w:lineRule="auto"/>
        <w:rPr>
          <w:rFonts w:ascii="Arial" w:hAnsi="Arial" w:cs="Arial"/>
          <w:sz w:val="20"/>
          <w:szCs w:val="20"/>
        </w:rPr>
      </w:pPr>
      <w:r w:rsidRPr="00EE7289">
        <w:rPr>
          <w:rFonts w:ascii="Arial" w:hAnsi="Arial" w:cs="Arial"/>
          <w:sz w:val="20"/>
          <w:szCs w:val="20"/>
        </w:rPr>
        <w:br/>
        <w:t xml:space="preserve">(1) What (a) is the detailed breakdown of the costs of the National Health Insurance (NHI), considering the provincial demands and requirements and (b) are the details of the envisaged and/or proposed means of how the money will be sourced, noting the proposed reallocations; </w:t>
      </w:r>
      <w:r w:rsidRPr="00EE7289">
        <w:rPr>
          <w:rFonts w:ascii="Arial" w:hAnsi="Arial" w:cs="Arial"/>
          <w:sz w:val="20"/>
          <w:szCs w:val="20"/>
        </w:rPr>
        <w:br/>
      </w:r>
      <w:r w:rsidRPr="00EE7289">
        <w:rPr>
          <w:rFonts w:ascii="Arial" w:hAnsi="Arial" w:cs="Arial"/>
          <w:sz w:val="20"/>
          <w:szCs w:val="20"/>
        </w:rPr>
        <w:br/>
        <w:t xml:space="preserve">(2) (a) what are the details of the reallocation of funds meant to accommodate the NHI, (b) how will the reallocation impact the current public health system and (c) what are the further, relevant details in this regard? NW5696E </w:t>
      </w:r>
      <w:r w:rsidRPr="00EE7289">
        <w:rPr>
          <w:rFonts w:ascii="Arial" w:hAnsi="Arial" w:cs="Arial"/>
          <w:sz w:val="20"/>
          <w:szCs w:val="20"/>
        </w:rPr>
        <w:br/>
      </w:r>
      <w:r w:rsidRPr="00EE7289">
        <w:rPr>
          <w:rFonts w:ascii="Arial" w:hAnsi="Arial" w:cs="Arial"/>
          <w:sz w:val="20"/>
          <w:szCs w:val="20"/>
        </w:rPr>
        <w:br/>
      </w:r>
      <w:r w:rsidRPr="00EE7289">
        <w:rPr>
          <w:rFonts w:ascii="Arial" w:hAnsi="Arial" w:cs="Arial"/>
          <w:b/>
          <w:sz w:val="20"/>
          <w:szCs w:val="20"/>
        </w:rPr>
        <w:t>REPLY:</w:t>
      </w:r>
      <w:r w:rsidRPr="00EE7289">
        <w:rPr>
          <w:rFonts w:ascii="Arial" w:hAnsi="Arial" w:cs="Arial"/>
          <w:sz w:val="20"/>
          <w:szCs w:val="20"/>
        </w:rPr>
        <w:t xml:space="preserve"> </w:t>
      </w:r>
      <w:r w:rsidRPr="00EE7289">
        <w:rPr>
          <w:rFonts w:ascii="Arial" w:hAnsi="Arial" w:cs="Arial"/>
          <w:sz w:val="20"/>
          <w:szCs w:val="20"/>
        </w:rPr>
        <w:br/>
      </w:r>
      <w:r w:rsidRPr="00EE7289">
        <w:rPr>
          <w:rFonts w:ascii="Arial" w:hAnsi="Arial" w:cs="Arial"/>
          <w:sz w:val="20"/>
          <w:szCs w:val="20"/>
        </w:rPr>
        <w:br/>
        <w:t>(1) (a) The National Health Insurance (NHI) will fund health care for 60m people. The Fund will be established once the Bill is enacted. The current spending on healthcare in the country is R554bn, which is split as follows:</w:t>
      </w:r>
      <w:r w:rsidRPr="00EE7289">
        <w:rPr>
          <w:rFonts w:ascii="Arial" w:hAnsi="Arial" w:cs="Arial"/>
          <w:sz w:val="20"/>
          <w:szCs w:val="20"/>
        </w:rPr>
        <w:br/>
      </w:r>
      <w:r w:rsidRPr="00EE7289">
        <w:rPr>
          <w:rFonts w:ascii="Arial" w:hAnsi="Arial" w:cs="Arial"/>
          <w:sz w:val="20"/>
          <w:szCs w:val="20"/>
        </w:rPr>
        <w:br/>
      </w:r>
    </w:p>
    <w:tbl>
      <w:tblPr>
        <w:tblStyle w:val="TableGrid"/>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9"/>
        <w:gridCol w:w="1104"/>
        <w:gridCol w:w="1896"/>
      </w:tblGrid>
      <w:tr w:rsidR="00EE7289" w:rsidRPr="00EE7289" w:rsidTr="00EE7289">
        <w:tblPrEx>
          <w:tblCellMar>
            <w:top w:w="0" w:type="dxa"/>
            <w:bottom w:w="0" w:type="dxa"/>
          </w:tblCellMar>
        </w:tblPrEx>
        <w:trPr>
          <w:gridBefore w:val="1"/>
          <w:wBefore w:w="2529" w:type="dxa"/>
          <w:trHeight w:val="108"/>
        </w:trPr>
        <w:tc>
          <w:tcPr>
            <w:tcW w:w="3000" w:type="dxa"/>
            <w:gridSpan w:val="2"/>
          </w:tcPr>
          <w:p w:rsidR="00EE7289" w:rsidRPr="00EE7289" w:rsidRDefault="00EE7289" w:rsidP="00EE7289">
            <w:pPr>
              <w:jc w:val="center"/>
              <w:rPr>
                <w:rFonts w:ascii="Arial" w:hAnsi="Arial" w:cs="Arial"/>
                <w:b/>
                <w:sz w:val="20"/>
                <w:szCs w:val="20"/>
              </w:rPr>
            </w:pPr>
            <w:r w:rsidRPr="00EE7289">
              <w:rPr>
                <w:rFonts w:ascii="Arial" w:hAnsi="Arial" w:cs="Arial"/>
                <w:b/>
                <w:sz w:val="20"/>
                <w:szCs w:val="20"/>
              </w:rPr>
              <w:t>FY21/22</w:t>
            </w:r>
          </w:p>
        </w:tc>
      </w:tr>
      <w:tr w:rsidR="00EE7289" w:rsidRPr="00EE7289" w:rsidTr="00EE7289">
        <w:tblPrEx>
          <w:tblCellMar>
            <w:top w:w="0" w:type="dxa"/>
            <w:bottom w:w="0" w:type="dxa"/>
          </w:tblCellMar>
        </w:tblPrEx>
        <w:trPr>
          <w:gridBefore w:val="1"/>
          <w:wBefore w:w="2529" w:type="dxa"/>
          <w:trHeight w:val="110"/>
        </w:trPr>
        <w:tc>
          <w:tcPr>
            <w:tcW w:w="1104" w:type="dxa"/>
          </w:tcPr>
          <w:p w:rsidR="00EE7289" w:rsidRPr="00EE7289" w:rsidRDefault="00EE7289" w:rsidP="00EE7289">
            <w:pPr>
              <w:rPr>
                <w:rFonts w:ascii="Arial" w:hAnsi="Arial" w:cs="Arial"/>
                <w:sz w:val="20"/>
                <w:szCs w:val="20"/>
              </w:rPr>
            </w:pPr>
            <w:r w:rsidRPr="00EE7289">
              <w:rPr>
                <w:rFonts w:ascii="Arial" w:hAnsi="Arial" w:cs="Arial"/>
                <w:sz w:val="20"/>
                <w:szCs w:val="20"/>
              </w:rPr>
              <w:t>Rand (</w:t>
            </w:r>
            <w:proofErr w:type="spellStart"/>
            <w:r w:rsidRPr="00EE7289">
              <w:rPr>
                <w:rFonts w:ascii="Arial" w:hAnsi="Arial" w:cs="Arial"/>
                <w:sz w:val="20"/>
                <w:szCs w:val="20"/>
              </w:rPr>
              <w:t>bn</w:t>
            </w:r>
            <w:proofErr w:type="spellEnd"/>
            <w:r w:rsidRPr="00EE7289">
              <w:rPr>
                <w:rFonts w:ascii="Arial" w:hAnsi="Arial" w:cs="Arial"/>
                <w:sz w:val="20"/>
                <w:szCs w:val="20"/>
              </w:rPr>
              <w:t>)</w:t>
            </w:r>
          </w:p>
        </w:tc>
        <w:tc>
          <w:tcPr>
            <w:tcW w:w="1896" w:type="dxa"/>
          </w:tcPr>
          <w:p w:rsidR="00EE7289" w:rsidRPr="00EE7289" w:rsidRDefault="00EE7289" w:rsidP="00EE7289">
            <w:pPr>
              <w:jc w:val="center"/>
              <w:rPr>
                <w:rFonts w:ascii="Arial" w:hAnsi="Arial" w:cs="Arial"/>
                <w:sz w:val="20"/>
                <w:szCs w:val="20"/>
              </w:rPr>
            </w:pPr>
            <w:r w:rsidRPr="00EE7289">
              <w:rPr>
                <w:rFonts w:ascii="Arial" w:hAnsi="Arial" w:cs="Arial"/>
                <w:sz w:val="20"/>
                <w:szCs w:val="20"/>
              </w:rPr>
              <w:t>%</w:t>
            </w:r>
          </w:p>
        </w:tc>
      </w:tr>
      <w:tr w:rsidR="00EE7289" w:rsidRPr="00EE7289" w:rsidTr="00EE72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rPr>
          <w:trHeight w:val="276"/>
        </w:trPr>
        <w:tc>
          <w:tcPr>
            <w:tcW w:w="2529" w:type="dxa"/>
            <w:tcBorders>
              <w:bottom w:val="single" w:sz="4" w:space="0" w:color="auto"/>
              <w:righ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Total public sector health</w:t>
            </w:r>
          </w:p>
        </w:tc>
        <w:tc>
          <w:tcPr>
            <w:tcW w:w="1104" w:type="dxa"/>
            <w:tcBorders>
              <w:left w:val="single" w:sz="4" w:space="0" w:color="auto"/>
              <w:bottom w:val="single" w:sz="4" w:space="0" w:color="auto"/>
              <w:righ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265 844</w:t>
            </w:r>
          </w:p>
        </w:tc>
        <w:tc>
          <w:tcPr>
            <w:tcW w:w="1896" w:type="dxa"/>
            <w:tcBorders>
              <w:left w:val="single" w:sz="4" w:space="0" w:color="auto"/>
              <w:bottom w:val="single" w:sz="4" w:space="0" w:color="auto"/>
            </w:tcBorders>
          </w:tcPr>
          <w:p w:rsidR="00EE7289" w:rsidRPr="00EE7289" w:rsidRDefault="00EE7289" w:rsidP="00EE7289">
            <w:pPr>
              <w:jc w:val="center"/>
              <w:rPr>
                <w:rFonts w:ascii="Arial" w:hAnsi="Arial" w:cs="Arial"/>
                <w:sz w:val="20"/>
                <w:szCs w:val="20"/>
              </w:rPr>
            </w:pPr>
            <w:r w:rsidRPr="00EE7289">
              <w:rPr>
                <w:rFonts w:ascii="Arial" w:hAnsi="Arial" w:cs="Arial"/>
                <w:sz w:val="20"/>
                <w:szCs w:val="20"/>
              </w:rPr>
              <w:t>48,9%</w:t>
            </w:r>
          </w:p>
        </w:tc>
      </w:tr>
      <w:tr w:rsidR="00EE7289" w:rsidRPr="00EE7289" w:rsidTr="00EE72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rPr>
          <w:trHeight w:val="420"/>
        </w:trPr>
        <w:tc>
          <w:tcPr>
            <w:tcW w:w="2529" w:type="dxa"/>
            <w:tcBorders>
              <w:top w:val="single" w:sz="4" w:space="0" w:color="auto"/>
              <w:righ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Total private sector health</w:t>
            </w:r>
          </w:p>
        </w:tc>
        <w:tc>
          <w:tcPr>
            <w:tcW w:w="1104" w:type="dxa"/>
            <w:tcBorders>
              <w:top w:val="single" w:sz="4" w:space="0" w:color="auto"/>
              <w:left w:val="single" w:sz="4" w:space="0" w:color="auto"/>
              <w:righ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277 402</w:t>
            </w:r>
          </w:p>
        </w:tc>
        <w:tc>
          <w:tcPr>
            <w:tcW w:w="1896" w:type="dxa"/>
            <w:tcBorders>
              <w:top w:val="single" w:sz="4" w:space="0" w:color="auto"/>
              <w:left w:val="single" w:sz="4" w:space="0" w:color="auto"/>
            </w:tcBorders>
          </w:tcPr>
          <w:p w:rsidR="00EE7289" w:rsidRPr="00EE7289" w:rsidRDefault="00EE7289" w:rsidP="00EE7289">
            <w:pPr>
              <w:jc w:val="center"/>
              <w:rPr>
                <w:rFonts w:ascii="Arial" w:hAnsi="Arial" w:cs="Arial"/>
                <w:sz w:val="20"/>
                <w:szCs w:val="20"/>
              </w:rPr>
            </w:pPr>
            <w:r w:rsidRPr="00EE7289">
              <w:rPr>
                <w:rFonts w:ascii="Arial" w:hAnsi="Arial" w:cs="Arial"/>
                <w:sz w:val="20"/>
                <w:szCs w:val="20"/>
              </w:rPr>
              <w:t>51,1%</w:t>
            </w:r>
          </w:p>
        </w:tc>
      </w:tr>
      <w:tr w:rsidR="00EE7289" w:rsidRPr="00EE7289" w:rsidTr="00EE7289">
        <w:tblPrEx>
          <w:tblCellMar>
            <w:top w:w="0" w:type="dxa"/>
            <w:bottom w:w="0" w:type="dxa"/>
          </w:tblCellMar>
        </w:tblPrEx>
        <w:trPr>
          <w:gridBefore w:val="1"/>
          <w:gridAfter w:val="1"/>
          <w:wBefore w:w="2529" w:type="dxa"/>
          <w:wAfter w:w="1896" w:type="dxa"/>
          <w:trHeight w:val="252"/>
        </w:trPr>
        <w:tc>
          <w:tcPr>
            <w:tcW w:w="1104" w:type="dxa"/>
          </w:tcPr>
          <w:p w:rsidR="00EE7289" w:rsidRPr="00EE7289" w:rsidRDefault="00EE7289" w:rsidP="00EE7289">
            <w:pPr>
              <w:rPr>
                <w:rFonts w:ascii="Arial" w:hAnsi="Arial" w:cs="Arial"/>
                <w:sz w:val="20"/>
                <w:szCs w:val="20"/>
              </w:rPr>
            </w:pPr>
            <w:r w:rsidRPr="00EE7289">
              <w:rPr>
                <w:rFonts w:ascii="Arial" w:hAnsi="Arial" w:cs="Arial"/>
                <w:sz w:val="20"/>
                <w:szCs w:val="20"/>
              </w:rPr>
              <w:t>543 246</w:t>
            </w:r>
          </w:p>
        </w:tc>
      </w:tr>
    </w:tbl>
    <w:p w:rsidR="006E500E" w:rsidRPr="00EE7289" w:rsidRDefault="006E500E" w:rsidP="00EE7289">
      <w:pPr>
        <w:spacing w:after="0" w:line="240" w:lineRule="auto"/>
        <w:rPr>
          <w:rFonts w:ascii="Arial" w:hAnsi="Arial" w:cs="Arial"/>
          <w:sz w:val="20"/>
          <w:szCs w:val="20"/>
        </w:rPr>
      </w:pPr>
    </w:p>
    <w:p w:rsidR="00EE7289" w:rsidRPr="00EE7289" w:rsidRDefault="00EE7289" w:rsidP="00EE7289">
      <w:pPr>
        <w:spacing w:after="0" w:line="240" w:lineRule="auto"/>
        <w:rPr>
          <w:rFonts w:ascii="Arial" w:hAnsi="Arial" w:cs="Arial"/>
          <w:sz w:val="20"/>
          <w:szCs w:val="20"/>
        </w:rPr>
      </w:pPr>
      <w:r w:rsidRPr="00EE7289">
        <w:rPr>
          <w:rFonts w:ascii="Arial" w:hAnsi="Arial" w:cs="Arial"/>
          <w:sz w:val="20"/>
          <w:szCs w:val="20"/>
        </w:rPr>
        <w:t xml:space="preserve">Donors contribute R11 095bn, bringing total spend to R554 341bn </w:t>
      </w:r>
    </w:p>
    <w:p w:rsidR="00EE7289" w:rsidRPr="00EE7289" w:rsidRDefault="00EE7289" w:rsidP="00EE7289">
      <w:pPr>
        <w:spacing w:after="0" w:line="240" w:lineRule="auto"/>
        <w:rPr>
          <w:rFonts w:ascii="Arial" w:hAnsi="Arial" w:cs="Arial"/>
          <w:sz w:val="20"/>
          <w:szCs w:val="20"/>
        </w:rPr>
      </w:pPr>
    </w:p>
    <w:p w:rsidR="00EE7289" w:rsidRPr="00EE7289" w:rsidRDefault="00EE7289" w:rsidP="00EE7289">
      <w:pPr>
        <w:spacing w:after="0" w:line="240" w:lineRule="auto"/>
        <w:rPr>
          <w:rFonts w:ascii="Arial" w:hAnsi="Arial" w:cs="Arial"/>
          <w:sz w:val="20"/>
          <w:szCs w:val="20"/>
        </w:rPr>
      </w:pPr>
      <w:r w:rsidRPr="00EE7289">
        <w:rPr>
          <w:rFonts w:ascii="Arial" w:hAnsi="Arial" w:cs="Arial"/>
          <w:sz w:val="20"/>
          <w:szCs w:val="20"/>
        </w:rPr>
        <w:t xml:space="preserve">The NHI Bill provides that the bulk of the public sector health spend will be allocated to the NHI Fund by the normal appropriation route through Parliament. </w:t>
      </w:r>
      <w:r w:rsidRPr="00EE7289">
        <w:rPr>
          <w:rFonts w:ascii="Arial" w:hAnsi="Arial" w:cs="Arial"/>
          <w:sz w:val="20"/>
          <w:szCs w:val="20"/>
        </w:rPr>
        <w:br/>
      </w:r>
      <w:r w:rsidRPr="00EE7289">
        <w:rPr>
          <w:rFonts w:ascii="Arial" w:hAnsi="Arial" w:cs="Arial"/>
          <w:sz w:val="20"/>
          <w:szCs w:val="20"/>
        </w:rPr>
        <w:br/>
        <w:t>(b) There is a provision in section 49 of the Bill for progressive introduction of taxes to move voluntary contributions into the Fund. In 2021/22 financial terms around R500bn is the equivalent funding of the present health system and it is these funds that will constitute the resource available to the NHI. This is in the order of 8</w:t>
      </w:r>
      <w:proofErr w:type="gramStart"/>
      <w:r w:rsidRPr="00EE7289">
        <w:rPr>
          <w:rFonts w:ascii="Arial" w:hAnsi="Arial" w:cs="Arial"/>
          <w:sz w:val="20"/>
          <w:szCs w:val="20"/>
        </w:rPr>
        <w:t>,5</w:t>
      </w:r>
      <w:proofErr w:type="gramEnd"/>
      <w:r w:rsidRPr="00EE7289">
        <w:rPr>
          <w:rFonts w:ascii="Arial" w:hAnsi="Arial" w:cs="Arial"/>
          <w:sz w:val="20"/>
          <w:szCs w:val="20"/>
        </w:rPr>
        <w:t>% of GDP. Funds for non-personal health services, and capital for infrastructure development, will remain with the provincial departments.</w:t>
      </w:r>
    </w:p>
    <w:p w:rsidR="00EE7289" w:rsidRPr="00EE7289" w:rsidRDefault="00EE7289" w:rsidP="00EE7289">
      <w:pPr>
        <w:spacing w:after="0" w:line="240" w:lineRule="auto"/>
        <w:rPr>
          <w:rFonts w:ascii="Arial" w:hAnsi="Arial" w:cs="Arial"/>
          <w:sz w:val="20"/>
          <w:szCs w:val="20"/>
        </w:rPr>
      </w:pPr>
    </w:p>
    <w:p w:rsidR="00EE7289" w:rsidRPr="00EE7289" w:rsidRDefault="00EE7289" w:rsidP="00EE7289">
      <w:pPr>
        <w:spacing w:after="0" w:line="240" w:lineRule="auto"/>
        <w:rPr>
          <w:rFonts w:ascii="Arial" w:hAnsi="Arial" w:cs="Arial"/>
          <w:sz w:val="20"/>
          <w:szCs w:val="20"/>
        </w:rPr>
      </w:pPr>
      <w:r w:rsidRPr="00EE7289">
        <w:rPr>
          <w:rFonts w:ascii="Arial" w:hAnsi="Arial" w:cs="Arial"/>
          <w:sz w:val="20"/>
          <w:szCs w:val="20"/>
        </w:rPr>
        <w:t>(2) (</w:t>
      </w:r>
      <w:proofErr w:type="gramStart"/>
      <w:r w:rsidRPr="00EE7289">
        <w:rPr>
          <w:rFonts w:ascii="Arial" w:hAnsi="Arial" w:cs="Arial"/>
          <w:sz w:val="20"/>
          <w:szCs w:val="20"/>
        </w:rPr>
        <w:t>a</w:t>
      </w:r>
      <w:proofErr w:type="gramEnd"/>
      <w:r w:rsidRPr="00EE7289">
        <w:rPr>
          <w:rFonts w:ascii="Arial" w:hAnsi="Arial" w:cs="Arial"/>
          <w:sz w:val="20"/>
          <w:szCs w:val="20"/>
        </w:rPr>
        <w:t>) The sources of funds that are presently spent in the health care system are as follows:</w:t>
      </w:r>
      <w:r w:rsidRPr="00EE7289">
        <w:rPr>
          <w:rFonts w:ascii="Arial" w:hAnsi="Arial" w:cs="Arial"/>
          <w:sz w:val="20"/>
          <w:szCs w:val="20"/>
        </w:rPr>
        <w:br/>
      </w:r>
    </w:p>
    <w:tbl>
      <w:tblPr>
        <w:tblStyle w:val="TableGrid"/>
        <w:tblW w:w="0" w:type="auto"/>
        <w:tblLook w:val="04A0"/>
      </w:tblPr>
      <w:tblGrid>
        <w:gridCol w:w="5778"/>
        <w:gridCol w:w="2268"/>
        <w:gridCol w:w="14"/>
      </w:tblGrid>
      <w:tr w:rsidR="00EE7289" w:rsidRPr="00EE7289" w:rsidTr="00EE7289">
        <w:trPr>
          <w:gridAfter w:val="1"/>
          <w:wAfter w:w="14" w:type="dxa"/>
        </w:trPr>
        <w:tc>
          <w:tcPr>
            <w:tcW w:w="5778" w:type="dxa"/>
            <w:tcBorders>
              <w:right w:val="single" w:sz="4" w:space="0" w:color="auto"/>
            </w:tcBorders>
          </w:tcPr>
          <w:p w:rsidR="00EE7289" w:rsidRPr="00EE7289" w:rsidRDefault="00EE7289" w:rsidP="00EE7289">
            <w:pPr>
              <w:rPr>
                <w:rFonts w:ascii="Arial" w:hAnsi="Arial" w:cs="Arial"/>
                <w:b/>
                <w:sz w:val="20"/>
                <w:szCs w:val="20"/>
              </w:rPr>
            </w:pPr>
            <w:r w:rsidRPr="00EE7289">
              <w:rPr>
                <w:rFonts w:ascii="Arial" w:hAnsi="Arial" w:cs="Arial"/>
                <w:b/>
                <w:sz w:val="20"/>
                <w:szCs w:val="20"/>
              </w:rPr>
              <w:t>GOVERNMENT DEPARTMENT AND ENTITY</w:t>
            </w:r>
          </w:p>
        </w:tc>
        <w:tc>
          <w:tcPr>
            <w:tcW w:w="2268" w:type="dxa"/>
            <w:tcBorders>
              <w:left w:val="single" w:sz="4" w:space="0" w:color="auto"/>
            </w:tcBorders>
          </w:tcPr>
          <w:p w:rsidR="00EE7289" w:rsidRPr="00EE7289" w:rsidRDefault="00EE7289" w:rsidP="00EE7289">
            <w:pPr>
              <w:rPr>
                <w:rFonts w:ascii="Arial" w:hAnsi="Arial" w:cs="Arial"/>
                <w:b/>
                <w:sz w:val="20"/>
                <w:szCs w:val="20"/>
              </w:rPr>
            </w:pPr>
            <w:r w:rsidRPr="00EE7289">
              <w:rPr>
                <w:rFonts w:ascii="Arial" w:hAnsi="Arial" w:cs="Arial"/>
                <w:b/>
                <w:sz w:val="20"/>
                <w:szCs w:val="20"/>
              </w:rPr>
              <w:t>R (millions)</w:t>
            </w:r>
          </w:p>
        </w:tc>
      </w:tr>
      <w:tr w:rsidR="00EE7289" w:rsidRPr="00EE7289" w:rsidTr="00EE7289">
        <w:trPr>
          <w:gridAfter w:val="1"/>
          <w:wAfter w:w="14" w:type="dxa"/>
        </w:trPr>
        <w:tc>
          <w:tcPr>
            <w:tcW w:w="5778" w:type="dxa"/>
            <w:tcBorders>
              <w:righ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National Department of Health core</w:t>
            </w:r>
          </w:p>
        </w:tc>
        <w:tc>
          <w:tcPr>
            <w:tcW w:w="2268" w:type="dxa"/>
            <w:tcBorders>
              <w:lef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12 947</w:t>
            </w:r>
          </w:p>
        </w:tc>
      </w:tr>
      <w:tr w:rsidR="00EE7289" w:rsidRPr="00EE7289" w:rsidTr="00EE7289">
        <w:trPr>
          <w:gridAfter w:val="1"/>
          <w:wAfter w:w="14" w:type="dxa"/>
        </w:trPr>
        <w:tc>
          <w:tcPr>
            <w:tcW w:w="5778" w:type="dxa"/>
            <w:tcBorders>
              <w:righ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National Department of Health Indirect Conditional Grants</w:t>
            </w:r>
          </w:p>
        </w:tc>
        <w:tc>
          <w:tcPr>
            <w:tcW w:w="2268" w:type="dxa"/>
            <w:tcBorders>
              <w:lef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85</w:t>
            </w:r>
          </w:p>
        </w:tc>
      </w:tr>
      <w:tr w:rsidR="00EE7289" w:rsidRPr="00EE7289" w:rsidTr="00EE7289">
        <w:trPr>
          <w:gridAfter w:val="1"/>
          <w:wAfter w:w="14" w:type="dxa"/>
        </w:trPr>
        <w:tc>
          <w:tcPr>
            <w:tcW w:w="5778" w:type="dxa"/>
            <w:tcBorders>
              <w:righ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National Department of Health Direct Conditional Grants</w:t>
            </w:r>
          </w:p>
        </w:tc>
        <w:tc>
          <w:tcPr>
            <w:tcW w:w="2268" w:type="dxa"/>
            <w:tcBorders>
              <w:lef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60 000</w:t>
            </w:r>
          </w:p>
        </w:tc>
      </w:tr>
      <w:tr w:rsidR="00EE7289" w:rsidRPr="00EE7289" w:rsidTr="00EE7289">
        <w:trPr>
          <w:gridAfter w:val="1"/>
          <w:wAfter w:w="14" w:type="dxa"/>
        </w:trPr>
        <w:tc>
          <w:tcPr>
            <w:tcW w:w="5778" w:type="dxa"/>
            <w:tcBorders>
              <w:righ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Provincial Departments of Health Provincial Equitable Share</w:t>
            </w:r>
          </w:p>
        </w:tc>
        <w:tc>
          <w:tcPr>
            <w:tcW w:w="2268" w:type="dxa"/>
            <w:tcBorders>
              <w:lef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175 892</w:t>
            </w:r>
          </w:p>
        </w:tc>
      </w:tr>
      <w:tr w:rsidR="00EE7289" w:rsidRPr="00EE7289" w:rsidTr="00EE7289">
        <w:trPr>
          <w:gridAfter w:val="1"/>
          <w:wAfter w:w="14" w:type="dxa"/>
        </w:trPr>
        <w:tc>
          <w:tcPr>
            <w:tcW w:w="5778" w:type="dxa"/>
            <w:tcBorders>
              <w:righ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Defence (SAMHS)</w:t>
            </w:r>
          </w:p>
        </w:tc>
        <w:tc>
          <w:tcPr>
            <w:tcW w:w="2268" w:type="dxa"/>
            <w:tcBorders>
              <w:lef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5 474</w:t>
            </w:r>
          </w:p>
        </w:tc>
      </w:tr>
      <w:tr w:rsidR="00EE7289" w:rsidRPr="00EE7289" w:rsidTr="00EE7289">
        <w:trPr>
          <w:gridAfter w:val="1"/>
          <w:wAfter w:w="14" w:type="dxa"/>
        </w:trPr>
        <w:tc>
          <w:tcPr>
            <w:tcW w:w="5778" w:type="dxa"/>
            <w:tcBorders>
              <w:righ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Correctional Services</w:t>
            </w:r>
          </w:p>
        </w:tc>
        <w:tc>
          <w:tcPr>
            <w:tcW w:w="2268" w:type="dxa"/>
            <w:tcBorders>
              <w:lef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1 216</w:t>
            </w:r>
          </w:p>
        </w:tc>
      </w:tr>
      <w:tr w:rsidR="00EE7289" w:rsidRPr="00EE7289" w:rsidTr="00EE7289">
        <w:trPr>
          <w:gridAfter w:val="1"/>
          <w:wAfter w:w="14" w:type="dxa"/>
        </w:trPr>
        <w:tc>
          <w:tcPr>
            <w:tcW w:w="5778" w:type="dxa"/>
            <w:tcBorders>
              <w:righ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Local government (own revenue)</w:t>
            </w:r>
          </w:p>
        </w:tc>
        <w:tc>
          <w:tcPr>
            <w:tcW w:w="2268" w:type="dxa"/>
            <w:tcBorders>
              <w:lef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5 138</w:t>
            </w:r>
          </w:p>
        </w:tc>
      </w:tr>
      <w:tr w:rsidR="00EE7289" w:rsidRPr="00EE7289" w:rsidTr="00EE7289">
        <w:trPr>
          <w:gridAfter w:val="1"/>
          <w:wAfter w:w="14" w:type="dxa"/>
        </w:trPr>
        <w:tc>
          <w:tcPr>
            <w:tcW w:w="5778" w:type="dxa"/>
            <w:tcBorders>
              <w:righ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Workmen's Compensation contributions</w:t>
            </w:r>
          </w:p>
        </w:tc>
        <w:tc>
          <w:tcPr>
            <w:tcW w:w="2268" w:type="dxa"/>
            <w:tcBorders>
              <w:lef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 3 502</w:t>
            </w:r>
          </w:p>
        </w:tc>
      </w:tr>
      <w:tr w:rsidR="00EE7289" w:rsidRPr="00EE7289" w:rsidTr="00EE7289">
        <w:trPr>
          <w:gridAfter w:val="1"/>
          <w:wAfter w:w="14" w:type="dxa"/>
        </w:trPr>
        <w:tc>
          <w:tcPr>
            <w:tcW w:w="5778" w:type="dxa"/>
            <w:tcBorders>
              <w:righ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Road Accident Fund levies</w:t>
            </w:r>
          </w:p>
        </w:tc>
        <w:tc>
          <w:tcPr>
            <w:tcW w:w="2268" w:type="dxa"/>
            <w:tcBorders>
              <w:lef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 1 675</w:t>
            </w:r>
          </w:p>
        </w:tc>
      </w:tr>
      <w:tr w:rsidR="00EE7289" w:rsidRPr="00EE7289" w:rsidTr="00EE7289">
        <w:tc>
          <w:tcPr>
            <w:tcW w:w="5778" w:type="dxa"/>
            <w:tcBorders>
              <w:righ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Compensation for Occupational Injuries and Diseases (COIDA)</w:t>
            </w:r>
          </w:p>
        </w:tc>
        <w:tc>
          <w:tcPr>
            <w:tcW w:w="2282" w:type="dxa"/>
            <w:gridSpan w:val="2"/>
            <w:tcBorders>
              <w:lef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w:t>
            </w:r>
          </w:p>
        </w:tc>
      </w:tr>
      <w:tr w:rsidR="00EE7289" w:rsidRPr="00EE7289" w:rsidTr="00EE7289">
        <w:trPr>
          <w:trHeight w:val="288"/>
        </w:trPr>
        <w:tc>
          <w:tcPr>
            <w:tcW w:w="5778" w:type="dxa"/>
            <w:tcBorders>
              <w:bottom w:val="single" w:sz="4" w:space="0" w:color="auto"/>
              <w:righ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lastRenderedPageBreak/>
              <w:t>Medical schemes (Employer contribution public service)</w:t>
            </w:r>
          </w:p>
        </w:tc>
        <w:tc>
          <w:tcPr>
            <w:tcW w:w="2282" w:type="dxa"/>
            <w:gridSpan w:val="2"/>
            <w:vMerge w:val="restart"/>
            <w:tcBorders>
              <w:left w:val="single" w:sz="4" w:space="0" w:color="auto"/>
            </w:tcBorders>
          </w:tcPr>
          <w:p w:rsidR="00EE7289" w:rsidRPr="00EE7289" w:rsidRDefault="00EE7289" w:rsidP="00EE7289">
            <w:pPr>
              <w:rPr>
                <w:rFonts w:ascii="Arial" w:hAnsi="Arial" w:cs="Arial"/>
                <w:sz w:val="20"/>
                <w:szCs w:val="20"/>
              </w:rPr>
            </w:pPr>
          </w:p>
          <w:p w:rsidR="00EE7289" w:rsidRPr="00EE7289" w:rsidRDefault="00EE7289" w:rsidP="00EE7289">
            <w:pPr>
              <w:rPr>
                <w:rFonts w:ascii="Arial" w:hAnsi="Arial" w:cs="Arial"/>
                <w:sz w:val="20"/>
                <w:szCs w:val="20"/>
              </w:rPr>
            </w:pPr>
            <w:r w:rsidRPr="00EE7289">
              <w:rPr>
                <w:rFonts w:ascii="Arial" w:hAnsi="Arial" w:cs="Arial"/>
                <w:sz w:val="20"/>
                <w:szCs w:val="20"/>
              </w:rPr>
              <w:t>230 618</w:t>
            </w:r>
          </w:p>
        </w:tc>
      </w:tr>
      <w:tr w:rsidR="00EE7289" w:rsidRPr="00EE7289" w:rsidTr="00EE7289">
        <w:trPr>
          <w:trHeight w:val="228"/>
        </w:trPr>
        <w:tc>
          <w:tcPr>
            <w:tcW w:w="5778" w:type="dxa"/>
            <w:tcBorders>
              <w:top w:val="single" w:sz="4" w:space="0" w:color="auto"/>
              <w:bottom w:val="single" w:sz="4" w:space="0" w:color="auto"/>
              <w:righ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Medical schemes (Employer contribution private employer)</w:t>
            </w:r>
          </w:p>
        </w:tc>
        <w:tc>
          <w:tcPr>
            <w:tcW w:w="2282" w:type="dxa"/>
            <w:gridSpan w:val="2"/>
            <w:vMerge/>
            <w:tcBorders>
              <w:left w:val="single" w:sz="4" w:space="0" w:color="auto"/>
            </w:tcBorders>
          </w:tcPr>
          <w:p w:rsidR="00EE7289" w:rsidRPr="00EE7289" w:rsidRDefault="00EE7289" w:rsidP="00EE7289">
            <w:pPr>
              <w:rPr>
                <w:rFonts w:ascii="Arial" w:hAnsi="Arial" w:cs="Arial"/>
                <w:sz w:val="20"/>
                <w:szCs w:val="20"/>
              </w:rPr>
            </w:pPr>
          </w:p>
        </w:tc>
      </w:tr>
      <w:tr w:rsidR="00EE7289" w:rsidRPr="00EE7289" w:rsidTr="00EE7289">
        <w:trPr>
          <w:trHeight w:val="264"/>
        </w:trPr>
        <w:tc>
          <w:tcPr>
            <w:tcW w:w="5778" w:type="dxa"/>
            <w:tcBorders>
              <w:top w:val="single" w:sz="4" w:space="0" w:color="auto"/>
              <w:righ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Medical schemes (Employee contribution)</w:t>
            </w:r>
          </w:p>
        </w:tc>
        <w:tc>
          <w:tcPr>
            <w:tcW w:w="2282" w:type="dxa"/>
            <w:gridSpan w:val="2"/>
            <w:vMerge/>
            <w:tcBorders>
              <w:left w:val="single" w:sz="4" w:space="0" w:color="auto"/>
            </w:tcBorders>
          </w:tcPr>
          <w:p w:rsidR="00EE7289" w:rsidRPr="00EE7289" w:rsidRDefault="00EE7289" w:rsidP="00EE7289">
            <w:pPr>
              <w:rPr>
                <w:rFonts w:ascii="Arial" w:hAnsi="Arial" w:cs="Arial"/>
                <w:sz w:val="20"/>
                <w:szCs w:val="20"/>
              </w:rPr>
            </w:pPr>
          </w:p>
        </w:tc>
      </w:tr>
      <w:tr w:rsidR="00EE7289" w:rsidRPr="00EE7289" w:rsidTr="00EE7289">
        <w:tc>
          <w:tcPr>
            <w:tcW w:w="5778" w:type="dxa"/>
            <w:tcBorders>
              <w:righ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Out of pocket</w:t>
            </w:r>
          </w:p>
        </w:tc>
        <w:tc>
          <w:tcPr>
            <w:tcW w:w="2282" w:type="dxa"/>
            <w:gridSpan w:val="2"/>
            <w:tcBorders>
              <w:lef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38 653</w:t>
            </w:r>
          </w:p>
        </w:tc>
      </w:tr>
      <w:tr w:rsidR="00EE7289" w:rsidRPr="00EE7289" w:rsidTr="00EE7289">
        <w:tc>
          <w:tcPr>
            <w:tcW w:w="5778" w:type="dxa"/>
            <w:tcBorders>
              <w:righ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Medical insurance</w:t>
            </w:r>
          </w:p>
        </w:tc>
        <w:tc>
          <w:tcPr>
            <w:tcW w:w="2282" w:type="dxa"/>
            <w:gridSpan w:val="2"/>
            <w:tcBorders>
              <w:lef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5 501</w:t>
            </w:r>
          </w:p>
        </w:tc>
      </w:tr>
      <w:tr w:rsidR="00EE7289" w:rsidRPr="00EE7289" w:rsidTr="00EE7289">
        <w:tc>
          <w:tcPr>
            <w:tcW w:w="5778" w:type="dxa"/>
            <w:tcBorders>
              <w:righ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Employer private (including Occupational Health)</w:t>
            </w:r>
          </w:p>
        </w:tc>
        <w:tc>
          <w:tcPr>
            <w:tcW w:w="2282" w:type="dxa"/>
            <w:gridSpan w:val="2"/>
            <w:tcBorders>
              <w:lef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2 630</w:t>
            </w:r>
          </w:p>
        </w:tc>
      </w:tr>
      <w:tr w:rsidR="00EE7289" w:rsidRPr="00EE7289" w:rsidTr="00EE7289">
        <w:tc>
          <w:tcPr>
            <w:tcW w:w="5778" w:type="dxa"/>
            <w:tcBorders>
              <w:righ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Donors</w:t>
            </w:r>
          </w:p>
        </w:tc>
        <w:tc>
          <w:tcPr>
            <w:tcW w:w="2282" w:type="dxa"/>
            <w:gridSpan w:val="2"/>
            <w:tcBorders>
              <w:left w:val="single" w:sz="4" w:space="0" w:color="auto"/>
            </w:tcBorders>
          </w:tcPr>
          <w:p w:rsidR="00EE7289" w:rsidRPr="00EE7289" w:rsidRDefault="00EE7289" w:rsidP="00EE7289">
            <w:pPr>
              <w:rPr>
                <w:rFonts w:ascii="Arial" w:hAnsi="Arial" w:cs="Arial"/>
                <w:sz w:val="20"/>
                <w:szCs w:val="20"/>
              </w:rPr>
            </w:pPr>
            <w:r w:rsidRPr="00EE7289">
              <w:rPr>
                <w:rFonts w:ascii="Arial" w:hAnsi="Arial" w:cs="Arial"/>
                <w:sz w:val="20"/>
                <w:szCs w:val="20"/>
              </w:rPr>
              <w:t>11 95</w:t>
            </w:r>
          </w:p>
        </w:tc>
      </w:tr>
    </w:tbl>
    <w:p w:rsidR="00EE7289" w:rsidRPr="00EE7289" w:rsidRDefault="00EE7289" w:rsidP="00EE7289">
      <w:pPr>
        <w:spacing w:after="0" w:line="240" w:lineRule="auto"/>
        <w:rPr>
          <w:rFonts w:ascii="Arial" w:hAnsi="Arial" w:cs="Arial"/>
          <w:sz w:val="20"/>
          <w:szCs w:val="20"/>
        </w:rPr>
      </w:pPr>
      <w:r w:rsidRPr="00EE7289">
        <w:rPr>
          <w:rFonts w:ascii="Arial" w:hAnsi="Arial" w:cs="Arial"/>
          <w:sz w:val="20"/>
          <w:szCs w:val="20"/>
        </w:rPr>
        <w:t xml:space="preserve">* Unclear what portion is for medical expenses as opposed to other benefits </w:t>
      </w:r>
      <w:r w:rsidRPr="00EE7289">
        <w:rPr>
          <w:rFonts w:ascii="Arial" w:hAnsi="Arial" w:cs="Arial"/>
          <w:sz w:val="20"/>
          <w:szCs w:val="20"/>
        </w:rPr>
        <w:br/>
        <w:t xml:space="preserve">** Unclear what portion is for medical expenses as opposed to other benefits </w:t>
      </w:r>
      <w:r w:rsidRPr="00EE7289">
        <w:rPr>
          <w:rFonts w:ascii="Arial" w:hAnsi="Arial" w:cs="Arial"/>
          <w:sz w:val="20"/>
          <w:szCs w:val="20"/>
        </w:rPr>
        <w:br/>
        <w:t>*** Unclear what portion is for medical expenses as opposed to other benefits</w:t>
      </w:r>
    </w:p>
    <w:p w:rsidR="00EE7289" w:rsidRPr="00EE7289" w:rsidRDefault="00EE7289" w:rsidP="00EE7289">
      <w:pPr>
        <w:spacing w:after="0" w:line="240" w:lineRule="auto"/>
        <w:rPr>
          <w:rFonts w:ascii="Arial" w:hAnsi="Arial" w:cs="Arial"/>
          <w:sz w:val="20"/>
          <w:szCs w:val="20"/>
        </w:rPr>
      </w:pPr>
    </w:p>
    <w:p w:rsidR="00EE7289" w:rsidRPr="00EE7289" w:rsidRDefault="00EE7289" w:rsidP="00EE7289">
      <w:pPr>
        <w:spacing w:after="0" w:line="240" w:lineRule="auto"/>
        <w:rPr>
          <w:rFonts w:ascii="Arial" w:hAnsi="Arial" w:cs="Arial"/>
          <w:sz w:val="20"/>
          <w:szCs w:val="20"/>
        </w:rPr>
      </w:pPr>
      <w:r w:rsidRPr="00EE7289">
        <w:rPr>
          <w:rFonts w:ascii="Arial" w:hAnsi="Arial" w:cs="Arial"/>
          <w:sz w:val="20"/>
          <w:szCs w:val="20"/>
        </w:rPr>
        <w:t xml:space="preserve">(b) The public health system will continue to receive the present budget allocation but once the NHI is established the route of funding will change from </w:t>
      </w:r>
      <w:proofErr w:type="spellStart"/>
      <w:r w:rsidRPr="00EE7289">
        <w:rPr>
          <w:rFonts w:ascii="Arial" w:hAnsi="Arial" w:cs="Arial"/>
          <w:sz w:val="20"/>
          <w:szCs w:val="20"/>
        </w:rPr>
        <w:t>te</w:t>
      </w:r>
      <w:proofErr w:type="spellEnd"/>
      <w:r w:rsidRPr="00EE7289">
        <w:rPr>
          <w:rFonts w:ascii="Arial" w:hAnsi="Arial" w:cs="Arial"/>
          <w:sz w:val="20"/>
          <w:szCs w:val="20"/>
        </w:rPr>
        <w:t xml:space="preserve"> current route of Provincial Equitable Shares (PES) via block allocations to provincial governments and managed by provincial treasuries, through the National Vote to the Fund (as the South African Medical Research Council, Council for Medial Schemes and other entities are funded presently). The Fund will pay for the benefits and services provided. The leverage of the </w:t>
      </w:r>
      <w:proofErr w:type="spellStart"/>
      <w:r w:rsidRPr="00EE7289">
        <w:rPr>
          <w:rFonts w:ascii="Arial" w:hAnsi="Arial" w:cs="Arial"/>
          <w:sz w:val="20"/>
          <w:szCs w:val="20"/>
        </w:rPr>
        <w:t>monopsony</w:t>
      </w:r>
      <w:proofErr w:type="spellEnd"/>
      <w:r w:rsidRPr="00EE7289">
        <w:rPr>
          <w:rFonts w:ascii="Arial" w:hAnsi="Arial" w:cs="Arial"/>
          <w:sz w:val="20"/>
          <w:szCs w:val="20"/>
        </w:rPr>
        <w:t xml:space="preserve"> will obviate the challenges of patients moving between provinces and will allow for national interventions to communities that are under-funded (through strategic purchasing). By setting prices nationally the Fund will be able to control excessive pricing and purchase more care with the same funds. </w:t>
      </w:r>
      <w:r>
        <w:rPr>
          <w:rFonts w:ascii="Arial" w:hAnsi="Arial" w:cs="Arial"/>
          <w:sz w:val="20"/>
          <w:szCs w:val="20"/>
        </w:rPr>
        <w:br/>
      </w:r>
      <w:r>
        <w:rPr>
          <w:rFonts w:ascii="Arial" w:hAnsi="Arial" w:cs="Arial"/>
          <w:sz w:val="20"/>
          <w:szCs w:val="20"/>
        </w:rPr>
        <w:br/>
      </w:r>
      <w:r w:rsidRPr="00EE7289">
        <w:rPr>
          <w:rFonts w:ascii="Arial" w:hAnsi="Arial" w:cs="Arial"/>
          <w:sz w:val="20"/>
          <w:szCs w:val="20"/>
        </w:rPr>
        <w:t xml:space="preserve">(c) The Fund will also purchase benefits (patient care) from private providers who are presently not accessible to people who do not have medical scheme cover. This will increase the footprint of available services and improve accessibility. </w:t>
      </w:r>
      <w:r>
        <w:rPr>
          <w:rFonts w:ascii="Arial" w:hAnsi="Arial" w:cs="Arial"/>
          <w:sz w:val="20"/>
          <w:szCs w:val="20"/>
        </w:rPr>
        <w:br/>
      </w:r>
      <w:r>
        <w:rPr>
          <w:rFonts w:ascii="Arial" w:hAnsi="Arial" w:cs="Arial"/>
          <w:sz w:val="20"/>
          <w:szCs w:val="20"/>
        </w:rPr>
        <w:br/>
      </w:r>
      <w:r w:rsidRPr="00EE7289">
        <w:rPr>
          <w:rFonts w:ascii="Arial" w:hAnsi="Arial" w:cs="Arial"/>
          <w:sz w:val="20"/>
          <w:szCs w:val="20"/>
        </w:rPr>
        <w:t>END.</w:t>
      </w:r>
    </w:p>
    <w:sectPr w:rsidR="00EE7289" w:rsidRPr="00EE7289" w:rsidSect="006E50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7289"/>
    <w:rsid w:val="006E500E"/>
    <w:rsid w:val="00EE7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2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2023-05-23T08:21:00Z</dcterms:created>
  <dcterms:modified xsi:type="dcterms:W3CDTF">2023-05-23T08:36:00Z</dcterms:modified>
</cp:coreProperties>
</file>