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C1" w:rsidRPr="0034705D" w:rsidRDefault="00FD6DC1" w:rsidP="00FD6DC1">
      <w:pPr>
        <w:pStyle w:val="Heading1"/>
        <w:jc w:val="center"/>
        <w:rPr>
          <w:sz w:val="24"/>
          <w:u w:val="single"/>
        </w:rPr>
      </w:pPr>
      <w:r w:rsidRPr="0034705D">
        <w:rPr>
          <w:sz w:val="24"/>
          <w:u w:val="single"/>
        </w:rPr>
        <w:t>NATIONAL ASSEMBLY</w:t>
      </w:r>
    </w:p>
    <w:p w:rsidR="00FD6DC1" w:rsidRPr="0034705D" w:rsidRDefault="00FD6DC1" w:rsidP="00FD6DC1">
      <w:pPr>
        <w:jc w:val="both"/>
        <w:rPr>
          <w:b/>
          <w:sz w:val="24"/>
          <w:u w:val="single"/>
        </w:rPr>
      </w:pPr>
    </w:p>
    <w:p w:rsidR="00FD6DC1" w:rsidRPr="0034705D" w:rsidRDefault="00FD6DC1" w:rsidP="00FD6DC1">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FD6DC1" w:rsidRPr="0034705D" w:rsidRDefault="00FD6DC1" w:rsidP="00FD6DC1">
      <w:pPr>
        <w:pStyle w:val="BodyText"/>
        <w:rPr>
          <w:b/>
          <w:bCs/>
          <w:sz w:val="24"/>
          <w:u w:val="single"/>
        </w:rPr>
      </w:pPr>
    </w:p>
    <w:p w:rsidR="00FD6DC1" w:rsidRDefault="00FD6DC1" w:rsidP="00FD6DC1">
      <w:pPr>
        <w:pStyle w:val="BodyText"/>
        <w:rPr>
          <w:b/>
          <w:bCs/>
          <w:sz w:val="24"/>
          <w:u w:val="single"/>
        </w:rPr>
      </w:pPr>
      <w:r w:rsidRPr="0034705D">
        <w:rPr>
          <w:b/>
          <w:bCs/>
          <w:sz w:val="24"/>
          <w:u w:val="single"/>
        </w:rPr>
        <w:t xml:space="preserve">QUESTION NO. </w:t>
      </w:r>
      <w:r w:rsidR="00CD1883">
        <w:rPr>
          <w:b/>
          <w:bCs/>
          <w:sz w:val="24"/>
          <w:u w:val="single"/>
        </w:rPr>
        <w:t>4</w:t>
      </w:r>
      <w:r w:rsidR="00A07C4E">
        <w:rPr>
          <w:b/>
          <w:bCs/>
          <w:sz w:val="24"/>
          <w:u w:val="single"/>
        </w:rPr>
        <w:t>5</w:t>
      </w:r>
      <w:r w:rsidR="00037963">
        <w:rPr>
          <w:b/>
          <w:bCs/>
          <w:sz w:val="24"/>
          <w:u w:val="single"/>
        </w:rPr>
        <w:t>6</w:t>
      </w:r>
    </w:p>
    <w:p w:rsidR="00FD6DC1" w:rsidRDefault="00FD6DC1" w:rsidP="00FD6DC1">
      <w:pPr>
        <w:pStyle w:val="BodyText"/>
        <w:rPr>
          <w:b/>
          <w:bCs/>
          <w:sz w:val="24"/>
          <w:u w:val="single"/>
        </w:rPr>
      </w:pPr>
    </w:p>
    <w:p w:rsidR="00FD6DC1" w:rsidRPr="00934798" w:rsidRDefault="00FD6DC1" w:rsidP="00FD6DC1">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Pr>
          <w:b/>
          <w:bCs/>
          <w:sz w:val="24"/>
          <w:u w:val="single"/>
        </w:rPr>
        <w:t xml:space="preserve">25 FEBRUARY </w:t>
      </w:r>
      <w:r w:rsidRPr="00934798">
        <w:rPr>
          <w:b/>
          <w:bCs/>
          <w:sz w:val="24"/>
          <w:u w:val="single"/>
        </w:rPr>
        <w:t>20</w:t>
      </w:r>
      <w:r>
        <w:rPr>
          <w:b/>
          <w:bCs/>
          <w:sz w:val="24"/>
          <w:u w:val="single"/>
        </w:rPr>
        <w:t>21</w:t>
      </w:r>
      <w:r w:rsidRPr="00934798">
        <w:rPr>
          <w:b/>
          <w:bCs/>
          <w:sz w:val="24"/>
          <w:u w:val="single"/>
        </w:rPr>
        <w:t xml:space="preserve">   </w:t>
      </w:r>
    </w:p>
    <w:p w:rsidR="00FD6DC1" w:rsidRPr="00E17D06" w:rsidRDefault="00FD6DC1" w:rsidP="00FD6DC1">
      <w:pPr>
        <w:spacing w:before="100" w:beforeAutospacing="1" w:after="100" w:afterAutospacing="1" w:line="240" w:lineRule="auto"/>
        <w:ind w:left="720" w:hanging="720"/>
        <w:jc w:val="both"/>
        <w:outlineLvl w:val="0"/>
        <w:rPr>
          <w:rFonts w:ascii="Arial" w:hAnsi="Arial" w:cs="Arial"/>
          <w:b/>
          <w:sz w:val="24"/>
          <w:szCs w:val="24"/>
          <w:lang w:val="en-US"/>
        </w:rPr>
      </w:pPr>
      <w:r w:rsidRPr="00E17D06">
        <w:rPr>
          <w:rFonts w:ascii="Arial" w:hAnsi="Arial" w:cs="Arial"/>
          <w:b/>
          <w:bCs/>
          <w:sz w:val="24"/>
          <w:u w:val="single"/>
        </w:rPr>
        <w:t>(INTERNAL QUESTION PAPER NO. 0</w:t>
      </w:r>
      <w:r w:rsidR="00E17D06">
        <w:rPr>
          <w:rFonts w:ascii="Arial" w:hAnsi="Arial" w:cs="Arial"/>
          <w:b/>
          <w:bCs/>
          <w:sz w:val="24"/>
          <w:u w:val="single"/>
        </w:rPr>
        <w:t>4</w:t>
      </w:r>
      <w:r w:rsidRPr="00E17D06">
        <w:rPr>
          <w:rFonts w:ascii="Arial" w:hAnsi="Arial" w:cs="Arial"/>
          <w:b/>
          <w:bCs/>
          <w:sz w:val="24"/>
          <w:u w:val="single"/>
        </w:rPr>
        <w:t>)</w:t>
      </w:r>
    </w:p>
    <w:p w:rsidR="00037963" w:rsidRPr="00037963" w:rsidRDefault="00037963" w:rsidP="00037963">
      <w:pPr>
        <w:spacing w:before="100" w:beforeAutospacing="1" w:after="100" w:afterAutospacing="1" w:line="240" w:lineRule="auto"/>
        <w:ind w:left="720" w:hanging="720"/>
        <w:jc w:val="both"/>
        <w:outlineLvl w:val="0"/>
        <w:rPr>
          <w:rFonts w:ascii="Arial" w:hAnsi="Arial" w:cs="Arial"/>
          <w:b/>
          <w:sz w:val="24"/>
          <w:szCs w:val="24"/>
          <w:u w:val="single"/>
        </w:rPr>
      </w:pPr>
      <w:r w:rsidRPr="00037963">
        <w:rPr>
          <w:rFonts w:ascii="Arial" w:hAnsi="Arial" w:cs="Arial"/>
          <w:b/>
          <w:sz w:val="24"/>
          <w:szCs w:val="24"/>
          <w:u w:val="single"/>
        </w:rPr>
        <w:t>Mrs M O Clarke (DA) to ask the Minister of Health</w:t>
      </w:r>
      <w:r w:rsidR="00740B73" w:rsidRPr="00037963">
        <w:rPr>
          <w:rFonts w:ascii="Arial" w:hAnsi="Arial" w:cs="Arial"/>
          <w:b/>
          <w:sz w:val="24"/>
          <w:szCs w:val="24"/>
          <w:u w:val="single"/>
        </w:rPr>
        <w:fldChar w:fldCharType="begin"/>
      </w:r>
      <w:r w:rsidRPr="00037963">
        <w:rPr>
          <w:rFonts w:ascii="Arial" w:hAnsi="Arial" w:cs="Arial"/>
          <w:u w:val="single"/>
        </w:rPr>
        <w:instrText xml:space="preserve"> XE "</w:instrText>
      </w:r>
      <w:r w:rsidRPr="00037963">
        <w:rPr>
          <w:rFonts w:ascii="Arial" w:hAnsi="Arial" w:cs="Arial"/>
          <w:b/>
          <w:sz w:val="24"/>
          <w:szCs w:val="24"/>
          <w:u w:val="single"/>
          <w:lang w:val="en-GB"/>
        </w:rPr>
        <w:instrText>Health</w:instrText>
      </w:r>
      <w:r w:rsidRPr="00037963">
        <w:rPr>
          <w:rFonts w:ascii="Arial" w:hAnsi="Arial" w:cs="Arial"/>
          <w:u w:val="single"/>
        </w:rPr>
        <w:instrText xml:space="preserve">" </w:instrText>
      </w:r>
      <w:r w:rsidR="00740B73" w:rsidRPr="00037963">
        <w:rPr>
          <w:rFonts w:ascii="Arial" w:hAnsi="Arial" w:cs="Arial"/>
          <w:b/>
          <w:sz w:val="24"/>
          <w:szCs w:val="24"/>
          <w:u w:val="single"/>
        </w:rPr>
        <w:fldChar w:fldCharType="end"/>
      </w:r>
      <w:r w:rsidRPr="00037963">
        <w:rPr>
          <w:rFonts w:ascii="Arial" w:hAnsi="Arial" w:cs="Arial"/>
          <w:b/>
          <w:sz w:val="24"/>
          <w:szCs w:val="24"/>
          <w:u w:val="single"/>
        </w:rPr>
        <w:t>:</w:t>
      </w:r>
    </w:p>
    <w:p w:rsidR="00CD1883" w:rsidRPr="00037963" w:rsidRDefault="00037963" w:rsidP="00A07C4E">
      <w:pPr>
        <w:spacing w:before="100" w:beforeAutospacing="1" w:after="100" w:afterAutospacing="1" w:line="240" w:lineRule="auto"/>
        <w:jc w:val="both"/>
        <w:outlineLvl w:val="0"/>
        <w:rPr>
          <w:rFonts w:ascii="Arial" w:hAnsi="Arial" w:cs="Arial"/>
          <w:sz w:val="24"/>
          <w:szCs w:val="24"/>
        </w:rPr>
      </w:pPr>
      <w:r w:rsidRPr="00037963">
        <w:rPr>
          <w:rFonts w:ascii="Arial" w:hAnsi="Arial" w:cs="Arial"/>
          <w:sz w:val="24"/>
          <w:szCs w:val="24"/>
        </w:rPr>
        <w:t xml:space="preserve">Whether, with reference to the Auditor-General’s report, his department will supply a breakdown </w:t>
      </w:r>
      <w:bookmarkStart w:id="0" w:name="_GoBack"/>
      <w:bookmarkEnd w:id="0"/>
      <w:r w:rsidRPr="00037963">
        <w:rPr>
          <w:rFonts w:ascii="Arial" w:hAnsi="Arial" w:cs="Arial"/>
          <w:sz w:val="24"/>
          <w:szCs w:val="24"/>
        </w:rPr>
        <w:t>of (a) the R49 million unauthorised expenditure in terms of noncompliance in the 2020-21 financial year, (b) R922 million irregular expenditure for the 2020-21 financial year and (c) R849 million for the 2019-20 financial year; if not, why not, in each case; if so, what disciplinary procedures have taken place in each case?</w:t>
      </w:r>
    </w:p>
    <w:p w:rsidR="00CD1883" w:rsidRPr="00E17D06" w:rsidRDefault="00CD1883" w:rsidP="00CD1883">
      <w:pPr>
        <w:spacing w:before="100" w:beforeAutospacing="1" w:after="100" w:afterAutospacing="1" w:line="240" w:lineRule="auto"/>
        <w:ind w:left="720"/>
        <w:jc w:val="right"/>
        <w:outlineLvl w:val="0"/>
        <w:rPr>
          <w:rFonts w:ascii="Arial" w:hAnsi="Arial" w:cs="Arial"/>
          <w:sz w:val="12"/>
          <w:szCs w:val="12"/>
        </w:rPr>
      </w:pPr>
      <w:r w:rsidRPr="00E17D06">
        <w:rPr>
          <w:rFonts w:ascii="Arial" w:hAnsi="Arial" w:cs="Arial"/>
          <w:sz w:val="12"/>
          <w:szCs w:val="12"/>
        </w:rPr>
        <w:t>NW</w:t>
      </w:r>
      <w:r w:rsidR="00A07C4E">
        <w:rPr>
          <w:rFonts w:ascii="Arial" w:hAnsi="Arial" w:cs="Arial"/>
          <w:sz w:val="12"/>
          <w:szCs w:val="12"/>
        </w:rPr>
        <w:t>52</w:t>
      </w:r>
      <w:r w:rsidR="00037963">
        <w:rPr>
          <w:rFonts w:ascii="Arial" w:hAnsi="Arial" w:cs="Arial"/>
          <w:sz w:val="12"/>
          <w:szCs w:val="12"/>
        </w:rPr>
        <w:t>1</w:t>
      </w:r>
      <w:r w:rsidRPr="00E17D06">
        <w:rPr>
          <w:rFonts w:ascii="Arial" w:hAnsi="Arial" w:cs="Arial"/>
          <w:sz w:val="12"/>
          <w:szCs w:val="12"/>
        </w:rPr>
        <w:t>E</w:t>
      </w:r>
    </w:p>
    <w:p w:rsidR="00BA50B4" w:rsidRPr="00BA50B4" w:rsidRDefault="00BA50B4" w:rsidP="00BA50B4">
      <w:pPr>
        <w:spacing w:after="0" w:line="240" w:lineRule="auto"/>
        <w:outlineLvl w:val="0"/>
        <w:rPr>
          <w:rFonts w:ascii="Arial" w:hAnsi="Arial" w:cs="Arial"/>
          <w:b/>
          <w:sz w:val="24"/>
          <w:szCs w:val="24"/>
          <w:u w:val="single"/>
        </w:rPr>
      </w:pPr>
      <w:r w:rsidRPr="00BA50B4">
        <w:rPr>
          <w:rFonts w:ascii="Arial" w:hAnsi="Arial" w:cs="Arial"/>
          <w:b/>
          <w:sz w:val="24"/>
          <w:szCs w:val="24"/>
          <w:u w:val="single"/>
        </w:rPr>
        <w:t>REPLY:</w:t>
      </w:r>
    </w:p>
    <w:p w:rsidR="00BA50B4" w:rsidRPr="00BA50B4" w:rsidRDefault="00BA50B4" w:rsidP="00BA50B4">
      <w:pPr>
        <w:pStyle w:val="ListParagraph"/>
        <w:numPr>
          <w:ilvl w:val="0"/>
          <w:numId w:val="14"/>
        </w:numPr>
        <w:spacing w:before="100" w:beforeAutospacing="1" w:after="100" w:afterAutospacing="1"/>
        <w:jc w:val="both"/>
        <w:outlineLvl w:val="0"/>
        <w:rPr>
          <w:rFonts w:ascii="Arial" w:eastAsia="Times New Roman" w:hAnsi="Arial" w:cs="Arial"/>
        </w:rPr>
      </w:pPr>
      <w:r w:rsidRPr="00BA50B4">
        <w:rPr>
          <w:rFonts w:ascii="Arial" w:eastAsia="Times New Roman" w:hAnsi="Arial" w:cs="Arial"/>
        </w:rPr>
        <w:tab/>
        <w:t>Breakdown of R49 million unauthorised expenditure</w:t>
      </w:r>
    </w:p>
    <w:p w:rsidR="00BA50B4" w:rsidRPr="00BA50B4" w:rsidRDefault="00BA50B4" w:rsidP="00BA50B4">
      <w:pPr>
        <w:pStyle w:val="ListParagraph"/>
        <w:spacing w:before="100" w:beforeAutospacing="1" w:after="100" w:afterAutospacing="1"/>
        <w:ind w:left="360"/>
        <w:jc w:val="both"/>
        <w:outlineLvl w:val="0"/>
        <w:rPr>
          <w:rFonts w:ascii="Arial" w:eastAsia="Times New Roman" w:hAnsi="Arial" w:cs="Arial"/>
        </w:rPr>
      </w:pPr>
    </w:p>
    <w:p w:rsidR="00BA50B4" w:rsidRPr="00BA50B4" w:rsidRDefault="00BA50B4" w:rsidP="00BA50B4">
      <w:pPr>
        <w:pStyle w:val="ListParagraph"/>
        <w:spacing w:before="100" w:beforeAutospacing="1" w:after="100" w:afterAutospacing="1"/>
        <w:ind w:left="360"/>
        <w:jc w:val="both"/>
        <w:outlineLvl w:val="0"/>
        <w:rPr>
          <w:rFonts w:ascii="Arial" w:eastAsia="Times New Roman" w:hAnsi="Arial" w:cs="Arial"/>
        </w:rPr>
      </w:pPr>
      <w:r w:rsidRPr="00BA50B4">
        <w:rPr>
          <w:rFonts w:ascii="Arial" w:eastAsia="Times New Roman" w:hAnsi="Arial" w:cs="Arial"/>
        </w:rPr>
        <w:tab/>
        <w:t>Programme 4:  Primary Health Care:  (R37</w:t>
      </w:r>
      <w:proofErr w:type="gramStart"/>
      <w:r w:rsidRPr="00BA50B4">
        <w:rPr>
          <w:rFonts w:ascii="Arial" w:eastAsia="Times New Roman" w:hAnsi="Arial" w:cs="Arial"/>
        </w:rPr>
        <w:t>,886</w:t>
      </w:r>
      <w:proofErr w:type="gramEnd"/>
      <w:r w:rsidRPr="00BA50B4">
        <w:rPr>
          <w:rFonts w:ascii="Arial" w:eastAsia="Times New Roman" w:hAnsi="Arial" w:cs="Arial"/>
        </w:rPr>
        <w:t xml:space="preserve"> million)</w:t>
      </w:r>
    </w:p>
    <w:p w:rsidR="00BA50B4" w:rsidRPr="00BA50B4" w:rsidRDefault="00BA50B4" w:rsidP="00BA50B4">
      <w:pPr>
        <w:pStyle w:val="ListParagraph"/>
        <w:spacing w:before="100" w:beforeAutospacing="1" w:after="100" w:afterAutospacing="1"/>
        <w:ind w:left="567"/>
        <w:jc w:val="both"/>
        <w:outlineLvl w:val="0"/>
        <w:rPr>
          <w:rFonts w:ascii="Arial" w:eastAsia="Times New Roman" w:hAnsi="Arial" w:cs="Arial"/>
          <w:b/>
        </w:rPr>
      </w:pPr>
    </w:p>
    <w:tbl>
      <w:tblPr>
        <w:tblStyle w:val="TableGrid"/>
        <w:tblW w:w="0" w:type="auto"/>
        <w:tblInd w:w="704" w:type="dxa"/>
        <w:tblLook w:val="04A0"/>
      </w:tblPr>
      <w:tblGrid>
        <w:gridCol w:w="4213"/>
        <w:gridCol w:w="2591"/>
      </w:tblGrid>
      <w:tr w:rsidR="00BA50B4" w:rsidRPr="00BA50B4" w:rsidTr="006419DB">
        <w:tc>
          <w:tcPr>
            <w:tcW w:w="4213" w:type="dxa"/>
          </w:tcPr>
          <w:p w:rsidR="00BA50B4" w:rsidRPr="00BA50B4" w:rsidRDefault="00BA50B4" w:rsidP="006419DB">
            <w:pPr>
              <w:pStyle w:val="ListParagraph"/>
              <w:spacing w:before="100" w:beforeAutospacing="1" w:after="100" w:afterAutospacing="1"/>
              <w:ind w:left="0"/>
              <w:jc w:val="both"/>
              <w:outlineLvl w:val="0"/>
              <w:rPr>
                <w:rFonts w:ascii="Arial" w:hAnsi="Arial" w:cs="Arial"/>
                <w:b/>
              </w:rPr>
            </w:pPr>
            <w:r w:rsidRPr="00BA50B4">
              <w:rPr>
                <w:rFonts w:ascii="Arial" w:hAnsi="Arial" w:cs="Arial"/>
                <w:b/>
              </w:rPr>
              <w:t>Per economic classification</w:t>
            </w:r>
          </w:p>
        </w:tc>
        <w:tc>
          <w:tcPr>
            <w:tcW w:w="2591" w:type="dxa"/>
          </w:tcPr>
          <w:p w:rsidR="00BA50B4" w:rsidRPr="00BA50B4" w:rsidRDefault="00BA50B4" w:rsidP="006419DB">
            <w:pPr>
              <w:pStyle w:val="ListParagraph"/>
              <w:spacing w:before="100" w:beforeAutospacing="1" w:after="100" w:afterAutospacing="1"/>
              <w:ind w:left="0"/>
              <w:jc w:val="both"/>
              <w:outlineLvl w:val="0"/>
              <w:rPr>
                <w:rFonts w:ascii="Arial" w:hAnsi="Arial" w:cs="Arial"/>
                <w:b/>
              </w:rPr>
            </w:pPr>
            <w:r w:rsidRPr="00BA50B4">
              <w:rPr>
                <w:rFonts w:ascii="Arial" w:hAnsi="Arial" w:cs="Arial"/>
                <w:b/>
              </w:rPr>
              <w:t>Amount in R’000</w:t>
            </w:r>
          </w:p>
        </w:tc>
      </w:tr>
      <w:tr w:rsidR="00BA50B4" w:rsidRPr="00BA50B4" w:rsidTr="006419DB">
        <w:tc>
          <w:tcPr>
            <w:tcW w:w="4213" w:type="dxa"/>
          </w:tcPr>
          <w:p w:rsidR="00BA50B4" w:rsidRPr="00BA50B4" w:rsidRDefault="00BA50B4" w:rsidP="006419DB">
            <w:pPr>
              <w:pStyle w:val="ListParagraph"/>
              <w:spacing w:before="100" w:beforeAutospacing="1" w:after="100" w:afterAutospacing="1"/>
              <w:ind w:left="0"/>
              <w:jc w:val="both"/>
              <w:outlineLvl w:val="0"/>
              <w:rPr>
                <w:rFonts w:ascii="Arial" w:hAnsi="Arial" w:cs="Arial"/>
              </w:rPr>
            </w:pPr>
            <w:r w:rsidRPr="00BA50B4">
              <w:rPr>
                <w:rFonts w:ascii="Arial" w:hAnsi="Arial" w:cs="Arial"/>
              </w:rPr>
              <w:t>Compensation of Employees</w:t>
            </w:r>
          </w:p>
        </w:tc>
        <w:tc>
          <w:tcPr>
            <w:tcW w:w="2591" w:type="dxa"/>
          </w:tcPr>
          <w:p w:rsidR="00BA50B4" w:rsidRPr="00BA50B4" w:rsidRDefault="00BA50B4" w:rsidP="006419DB">
            <w:pPr>
              <w:pStyle w:val="ListParagraph"/>
              <w:spacing w:before="100" w:beforeAutospacing="1" w:after="100" w:afterAutospacing="1"/>
              <w:ind w:left="0"/>
              <w:jc w:val="right"/>
              <w:outlineLvl w:val="0"/>
              <w:rPr>
                <w:rFonts w:ascii="Arial" w:hAnsi="Arial" w:cs="Arial"/>
              </w:rPr>
            </w:pPr>
            <w:r w:rsidRPr="00BA50B4">
              <w:rPr>
                <w:rFonts w:ascii="Arial" w:hAnsi="Arial" w:cs="Arial"/>
              </w:rPr>
              <w:t>(43 763)</w:t>
            </w:r>
          </w:p>
        </w:tc>
      </w:tr>
      <w:tr w:rsidR="00BA50B4" w:rsidRPr="00BA50B4" w:rsidTr="006419DB">
        <w:tc>
          <w:tcPr>
            <w:tcW w:w="4213" w:type="dxa"/>
          </w:tcPr>
          <w:p w:rsidR="00BA50B4" w:rsidRPr="00BA50B4" w:rsidRDefault="00BA50B4" w:rsidP="006419DB">
            <w:pPr>
              <w:pStyle w:val="ListParagraph"/>
              <w:spacing w:before="100" w:beforeAutospacing="1" w:after="100" w:afterAutospacing="1"/>
              <w:ind w:left="0"/>
              <w:jc w:val="both"/>
              <w:outlineLvl w:val="0"/>
              <w:rPr>
                <w:rFonts w:ascii="Arial" w:hAnsi="Arial" w:cs="Arial"/>
              </w:rPr>
            </w:pPr>
            <w:r w:rsidRPr="00BA50B4">
              <w:rPr>
                <w:rFonts w:ascii="Arial" w:hAnsi="Arial" w:cs="Arial"/>
              </w:rPr>
              <w:t>Goods and Services</w:t>
            </w:r>
          </w:p>
        </w:tc>
        <w:tc>
          <w:tcPr>
            <w:tcW w:w="2591" w:type="dxa"/>
          </w:tcPr>
          <w:p w:rsidR="00BA50B4" w:rsidRPr="00BA50B4" w:rsidRDefault="00BA50B4" w:rsidP="006419DB">
            <w:pPr>
              <w:pStyle w:val="ListParagraph"/>
              <w:spacing w:before="100" w:beforeAutospacing="1" w:after="100" w:afterAutospacing="1"/>
              <w:ind w:left="0"/>
              <w:jc w:val="right"/>
              <w:outlineLvl w:val="0"/>
              <w:rPr>
                <w:rFonts w:ascii="Arial" w:hAnsi="Arial" w:cs="Arial"/>
              </w:rPr>
            </w:pPr>
            <w:r w:rsidRPr="00BA50B4">
              <w:rPr>
                <w:rFonts w:ascii="Arial" w:hAnsi="Arial" w:cs="Arial"/>
              </w:rPr>
              <w:t>4 936</w:t>
            </w:r>
          </w:p>
        </w:tc>
      </w:tr>
      <w:tr w:rsidR="00BA50B4" w:rsidRPr="00BA50B4" w:rsidTr="006419DB">
        <w:tc>
          <w:tcPr>
            <w:tcW w:w="4213" w:type="dxa"/>
          </w:tcPr>
          <w:p w:rsidR="00BA50B4" w:rsidRPr="00BA50B4" w:rsidRDefault="00BA50B4" w:rsidP="006419DB">
            <w:pPr>
              <w:pStyle w:val="ListParagraph"/>
              <w:spacing w:before="100" w:beforeAutospacing="1" w:after="100" w:afterAutospacing="1"/>
              <w:ind w:left="0"/>
              <w:jc w:val="both"/>
              <w:outlineLvl w:val="0"/>
              <w:rPr>
                <w:rFonts w:ascii="Arial" w:hAnsi="Arial" w:cs="Arial"/>
              </w:rPr>
            </w:pPr>
            <w:r w:rsidRPr="00BA50B4">
              <w:rPr>
                <w:rFonts w:ascii="Arial" w:hAnsi="Arial" w:cs="Arial"/>
              </w:rPr>
              <w:t>Transfers and Subsidies</w:t>
            </w:r>
          </w:p>
        </w:tc>
        <w:tc>
          <w:tcPr>
            <w:tcW w:w="2591" w:type="dxa"/>
          </w:tcPr>
          <w:p w:rsidR="00BA50B4" w:rsidRPr="00BA50B4" w:rsidRDefault="00BA50B4" w:rsidP="006419DB">
            <w:pPr>
              <w:pStyle w:val="ListParagraph"/>
              <w:spacing w:before="100" w:beforeAutospacing="1" w:after="100" w:afterAutospacing="1"/>
              <w:ind w:left="0"/>
              <w:jc w:val="right"/>
              <w:outlineLvl w:val="0"/>
              <w:rPr>
                <w:rFonts w:ascii="Arial" w:hAnsi="Arial" w:cs="Arial"/>
              </w:rPr>
            </w:pPr>
            <w:r w:rsidRPr="00BA50B4">
              <w:rPr>
                <w:rFonts w:ascii="Arial" w:hAnsi="Arial" w:cs="Arial"/>
              </w:rPr>
              <w:t>-</w:t>
            </w:r>
          </w:p>
        </w:tc>
      </w:tr>
      <w:tr w:rsidR="00BA50B4" w:rsidRPr="00BA50B4" w:rsidTr="006419DB">
        <w:tc>
          <w:tcPr>
            <w:tcW w:w="4213" w:type="dxa"/>
          </w:tcPr>
          <w:p w:rsidR="00BA50B4" w:rsidRPr="00BA50B4" w:rsidRDefault="00BA50B4" w:rsidP="006419DB">
            <w:pPr>
              <w:pStyle w:val="ListParagraph"/>
              <w:spacing w:before="100" w:beforeAutospacing="1" w:after="100" w:afterAutospacing="1"/>
              <w:ind w:left="0"/>
              <w:jc w:val="both"/>
              <w:outlineLvl w:val="0"/>
              <w:rPr>
                <w:rFonts w:ascii="Arial" w:hAnsi="Arial" w:cs="Arial"/>
              </w:rPr>
            </w:pPr>
            <w:r w:rsidRPr="00BA50B4">
              <w:rPr>
                <w:rFonts w:ascii="Arial" w:hAnsi="Arial" w:cs="Arial"/>
              </w:rPr>
              <w:t>Capital Assets</w:t>
            </w:r>
          </w:p>
        </w:tc>
        <w:tc>
          <w:tcPr>
            <w:tcW w:w="2591" w:type="dxa"/>
          </w:tcPr>
          <w:p w:rsidR="00BA50B4" w:rsidRPr="00BA50B4" w:rsidRDefault="00BA50B4" w:rsidP="006419DB">
            <w:pPr>
              <w:pStyle w:val="ListParagraph"/>
              <w:spacing w:before="100" w:beforeAutospacing="1" w:after="100" w:afterAutospacing="1"/>
              <w:ind w:left="0"/>
              <w:jc w:val="right"/>
              <w:outlineLvl w:val="0"/>
              <w:rPr>
                <w:rFonts w:ascii="Arial" w:hAnsi="Arial" w:cs="Arial"/>
              </w:rPr>
            </w:pPr>
            <w:r w:rsidRPr="00BA50B4">
              <w:rPr>
                <w:rFonts w:ascii="Arial" w:hAnsi="Arial" w:cs="Arial"/>
              </w:rPr>
              <w:t>941</w:t>
            </w:r>
          </w:p>
        </w:tc>
      </w:tr>
      <w:tr w:rsidR="00BA50B4" w:rsidRPr="00BA50B4" w:rsidTr="006419DB">
        <w:tc>
          <w:tcPr>
            <w:tcW w:w="4213" w:type="dxa"/>
          </w:tcPr>
          <w:p w:rsidR="00BA50B4" w:rsidRPr="00BA50B4" w:rsidRDefault="00BA50B4" w:rsidP="006419DB">
            <w:pPr>
              <w:pStyle w:val="ListParagraph"/>
              <w:spacing w:before="100" w:beforeAutospacing="1" w:after="100" w:afterAutospacing="1"/>
              <w:ind w:left="0"/>
              <w:jc w:val="both"/>
              <w:outlineLvl w:val="0"/>
              <w:rPr>
                <w:rFonts w:ascii="Arial" w:hAnsi="Arial" w:cs="Arial"/>
                <w:b/>
              </w:rPr>
            </w:pPr>
            <w:r w:rsidRPr="00BA50B4">
              <w:rPr>
                <w:rFonts w:ascii="Arial" w:hAnsi="Arial" w:cs="Arial"/>
                <w:b/>
              </w:rPr>
              <w:t>Net Results</w:t>
            </w:r>
          </w:p>
        </w:tc>
        <w:tc>
          <w:tcPr>
            <w:tcW w:w="2591" w:type="dxa"/>
          </w:tcPr>
          <w:p w:rsidR="00BA50B4" w:rsidRPr="00BA50B4" w:rsidRDefault="00BA50B4" w:rsidP="006419DB">
            <w:pPr>
              <w:pStyle w:val="ListParagraph"/>
              <w:spacing w:before="100" w:beforeAutospacing="1" w:after="100" w:afterAutospacing="1"/>
              <w:ind w:left="0"/>
              <w:jc w:val="right"/>
              <w:outlineLvl w:val="0"/>
              <w:rPr>
                <w:rFonts w:ascii="Arial" w:hAnsi="Arial" w:cs="Arial"/>
                <w:b/>
              </w:rPr>
            </w:pPr>
            <w:r w:rsidRPr="00BA50B4">
              <w:rPr>
                <w:rFonts w:ascii="Arial" w:hAnsi="Arial" w:cs="Arial"/>
                <w:b/>
              </w:rPr>
              <w:t>(37 886)</w:t>
            </w:r>
          </w:p>
        </w:tc>
      </w:tr>
    </w:tbl>
    <w:p w:rsidR="00BA50B4" w:rsidRPr="00BA50B4" w:rsidRDefault="00BA50B4" w:rsidP="00BA50B4">
      <w:pPr>
        <w:pStyle w:val="ListParagraph"/>
        <w:spacing w:before="100" w:beforeAutospacing="1" w:after="100" w:afterAutospacing="1"/>
        <w:ind w:left="360"/>
        <w:jc w:val="both"/>
        <w:outlineLvl w:val="0"/>
        <w:rPr>
          <w:rFonts w:ascii="Arial" w:eastAsia="Times New Roman" w:hAnsi="Arial" w:cs="Arial"/>
        </w:rPr>
      </w:pPr>
      <w:r w:rsidRPr="00BA50B4">
        <w:rPr>
          <w:rFonts w:ascii="Arial" w:eastAsia="Times New Roman" w:hAnsi="Arial" w:cs="Arial"/>
        </w:rPr>
        <w:tab/>
        <w:t>Programme 6:  Health Systems Governance:  (R11</w:t>
      </w:r>
      <w:proofErr w:type="gramStart"/>
      <w:r w:rsidRPr="00BA50B4">
        <w:rPr>
          <w:rFonts w:ascii="Arial" w:eastAsia="Times New Roman" w:hAnsi="Arial" w:cs="Arial"/>
        </w:rPr>
        <w:t>,841</w:t>
      </w:r>
      <w:proofErr w:type="gramEnd"/>
      <w:r w:rsidRPr="00BA50B4">
        <w:rPr>
          <w:rFonts w:ascii="Arial" w:eastAsia="Times New Roman" w:hAnsi="Arial" w:cs="Arial"/>
        </w:rPr>
        <w:t xml:space="preserve"> million)</w:t>
      </w:r>
    </w:p>
    <w:p w:rsidR="00BA50B4" w:rsidRPr="00BA50B4" w:rsidRDefault="00BA50B4" w:rsidP="00BA50B4">
      <w:pPr>
        <w:pStyle w:val="ListParagraph"/>
        <w:spacing w:before="100" w:beforeAutospacing="1" w:after="100" w:afterAutospacing="1"/>
        <w:ind w:left="360"/>
        <w:jc w:val="both"/>
        <w:outlineLvl w:val="0"/>
        <w:rPr>
          <w:rFonts w:ascii="Arial" w:eastAsia="Times New Roman" w:hAnsi="Arial" w:cs="Arial"/>
          <w:b/>
        </w:rPr>
      </w:pPr>
    </w:p>
    <w:tbl>
      <w:tblPr>
        <w:tblStyle w:val="TableGrid"/>
        <w:tblW w:w="0" w:type="auto"/>
        <w:tblInd w:w="704" w:type="dxa"/>
        <w:tblLook w:val="04A0"/>
      </w:tblPr>
      <w:tblGrid>
        <w:gridCol w:w="4213"/>
        <w:gridCol w:w="2591"/>
      </w:tblGrid>
      <w:tr w:rsidR="00BA50B4" w:rsidRPr="00BA50B4" w:rsidTr="006419DB">
        <w:tc>
          <w:tcPr>
            <w:tcW w:w="4213" w:type="dxa"/>
          </w:tcPr>
          <w:p w:rsidR="00BA50B4" w:rsidRPr="00BA50B4" w:rsidRDefault="00BA50B4" w:rsidP="006419DB">
            <w:pPr>
              <w:pStyle w:val="ListParagraph"/>
              <w:spacing w:before="100" w:beforeAutospacing="1" w:after="100" w:afterAutospacing="1"/>
              <w:ind w:left="0"/>
              <w:jc w:val="both"/>
              <w:outlineLvl w:val="0"/>
              <w:rPr>
                <w:rFonts w:ascii="Arial" w:hAnsi="Arial" w:cs="Arial"/>
                <w:b/>
              </w:rPr>
            </w:pPr>
            <w:r w:rsidRPr="00BA50B4">
              <w:rPr>
                <w:rFonts w:ascii="Arial" w:hAnsi="Arial" w:cs="Arial"/>
                <w:b/>
              </w:rPr>
              <w:t>Per economic classification</w:t>
            </w:r>
          </w:p>
        </w:tc>
        <w:tc>
          <w:tcPr>
            <w:tcW w:w="2591" w:type="dxa"/>
          </w:tcPr>
          <w:p w:rsidR="00BA50B4" w:rsidRPr="00BA50B4" w:rsidRDefault="00BA50B4" w:rsidP="006419DB">
            <w:pPr>
              <w:pStyle w:val="ListParagraph"/>
              <w:spacing w:before="100" w:beforeAutospacing="1" w:after="100" w:afterAutospacing="1"/>
              <w:ind w:left="0"/>
              <w:jc w:val="both"/>
              <w:outlineLvl w:val="0"/>
              <w:rPr>
                <w:rFonts w:ascii="Arial" w:hAnsi="Arial" w:cs="Arial"/>
                <w:b/>
              </w:rPr>
            </w:pPr>
            <w:r w:rsidRPr="00BA50B4">
              <w:rPr>
                <w:rFonts w:ascii="Arial" w:hAnsi="Arial" w:cs="Arial"/>
                <w:b/>
              </w:rPr>
              <w:t>Amount in R’000</w:t>
            </w:r>
          </w:p>
        </w:tc>
      </w:tr>
      <w:tr w:rsidR="00BA50B4" w:rsidRPr="00BA50B4" w:rsidTr="006419DB">
        <w:tc>
          <w:tcPr>
            <w:tcW w:w="4213" w:type="dxa"/>
          </w:tcPr>
          <w:p w:rsidR="00BA50B4" w:rsidRPr="00BA50B4" w:rsidRDefault="00BA50B4" w:rsidP="006419DB">
            <w:pPr>
              <w:pStyle w:val="ListParagraph"/>
              <w:spacing w:before="100" w:beforeAutospacing="1" w:after="100" w:afterAutospacing="1"/>
              <w:ind w:left="0"/>
              <w:jc w:val="both"/>
              <w:outlineLvl w:val="0"/>
              <w:rPr>
                <w:rFonts w:ascii="Arial" w:hAnsi="Arial" w:cs="Arial"/>
              </w:rPr>
            </w:pPr>
            <w:r w:rsidRPr="00BA50B4">
              <w:rPr>
                <w:rFonts w:ascii="Arial" w:hAnsi="Arial" w:cs="Arial"/>
              </w:rPr>
              <w:t>Compensation of Employees</w:t>
            </w:r>
          </w:p>
        </w:tc>
        <w:tc>
          <w:tcPr>
            <w:tcW w:w="2591" w:type="dxa"/>
          </w:tcPr>
          <w:p w:rsidR="00BA50B4" w:rsidRPr="00BA50B4" w:rsidRDefault="00BA50B4" w:rsidP="006419DB">
            <w:pPr>
              <w:pStyle w:val="ListParagraph"/>
              <w:spacing w:before="100" w:beforeAutospacing="1" w:after="100" w:afterAutospacing="1"/>
              <w:ind w:left="0"/>
              <w:jc w:val="right"/>
              <w:outlineLvl w:val="0"/>
              <w:rPr>
                <w:rFonts w:ascii="Arial" w:hAnsi="Arial" w:cs="Arial"/>
              </w:rPr>
            </w:pPr>
            <w:r w:rsidRPr="00BA50B4">
              <w:rPr>
                <w:rFonts w:ascii="Arial" w:hAnsi="Arial" w:cs="Arial"/>
              </w:rPr>
              <w:t>151</w:t>
            </w:r>
          </w:p>
        </w:tc>
      </w:tr>
      <w:tr w:rsidR="00BA50B4" w:rsidRPr="00BA50B4" w:rsidTr="006419DB">
        <w:tc>
          <w:tcPr>
            <w:tcW w:w="4213" w:type="dxa"/>
          </w:tcPr>
          <w:p w:rsidR="00BA50B4" w:rsidRPr="00BA50B4" w:rsidRDefault="00BA50B4" w:rsidP="006419DB">
            <w:pPr>
              <w:pStyle w:val="ListParagraph"/>
              <w:spacing w:before="100" w:beforeAutospacing="1" w:after="100" w:afterAutospacing="1"/>
              <w:ind w:left="0"/>
              <w:jc w:val="both"/>
              <w:outlineLvl w:val="0"/>
              <w:rPr>
                <w:rFonts w:ascii="Arial" w:hAnsi="Arial" w:cs="Arial"/>
              </w:rPr>
            </w:pPr>
            <w:r w:rsidRPr="00BA50B4">
              <w:rPr>
                <w:rFonts w:ascii="Arial" w:hAnsi="Arial" w:cs="Arial"/>
              </w:rPr>
              <w:t>Goods and Services</w:t>
            </w:r>
          </w:p>
        </w:tc>
        <w:tc>
          <w:tcPr>
            <w:tcW w:w="2591" w:type="dxa"/>
          </w:tcPr>
          <w:p w:rsidR="00BA50B4" w:rsidRPr="00BA50B4" w:rsidRDefault="00BA50B4" w:rsidP="006419DB">
            <w:pPr>
              <w:pStyle w:val="ListParagraph"/>
              <w:spacing w:before="100" w:beforeAutospacing="1" w:after="100" w:afterAutospacing="1"/>
              <w:ind w:left="0"/>
              <w:jc w:val="right"/>
              <w:outlineLvl w:val="0"/>
              <w:rPr>
                <w:rFonts w:ascii="Arial" w:hAnsi="Arial" w:cs="Arial"/>
              </w:rPr>
            </w:pPr>
            <w:r w:rsidRPr="00BA50B4">
              <w:rPr>
                <w:rFonts w:ascii="Arial" w:hAnsi="Arial" w:cs="Arial"/>
              </w:rPr>
              <w:t>13 708</w:t>
            </w:r>
          </w:p>
        </w:tc>
      </w:tr>
      <w:tr w:rsidR="00BA50B4" w:rsidRPr="00BA50B4" w:rsidTr="006419DB">
        <w:tc>
          <w:tcPr>
            <w:tcW w:w="4213" w:type="dxa"/>
          </w:tcPr>
          <w:p w:rsidR="00BA50B4" w:rsidRPr="00BA50B4" w:rsidRDefault="00BA50B4" w:rsidP="006419DB">
            <w:pPr>
              <w:pStyle w:val="ListParagraph"/>
              <w:spacing w:before="100" w:beforeAutospacing="1" w:after="100" w:afterAutospacing="1"/>
              <w:ind w:left="0"/>
              <w:jc w:val="both"/>
              <w:outlineLvl w:val="0"/>
              <w:rPr>
                <w:rFonts w:ascii="Arial" w:hAnsi="Arial" w:cs="Arial"/>
              </w:rPr>
            </w:pPr>
            <w:r w:rsidRPr="00BA50B4">
              <w:rPr>
                <w:rFonts w:ascii="Arial" w:hAnsi="Arial" w:cs="Arial"/>
              </w:rPr>
              <w:t>Transfers and Subsidies</w:t>
            </w:r>
          </w:p>
        </w:tc>
        <w:tc>
          <w:tcPr>
            <w:tcW w:w="2591" w:type="dxa"/>
          </w:tcPr>
          <w:p w:rsidR="00BA50B4" w:rsidRPr="00BA50B4" w:rsidRDefault="00BA50B4" w:rsidP="006419DB">
            <w:pPr>
              <w:pStyle w:val="ListParagraph"/>
              <w:spacing w:before="100" w:beforeAutospacing="1" w:after="100" w:afterAutospacing="1"/>
              <w:ind w:left="0"/>
              <w:jc w:val="right"/>
              <w:outlineLvl w:val="0"/>
              <w:rPr>
                <w:rFonts w:ascii="Arial" w:hAnsi="Arial" w:cs="Arial"/>
              </w:rPr>
            </w:pPr>
            <w:r w:rsidRPr="00BA50B4">
              <w:rPr>
                <w:rFonts w:ascii="Arial" w:hAnsi="Arial" w:cs="Arial"/>
              </w:rPr>
              <w:t>(30 568)</w:t>
            </w:r>
          </w:p>
        </w:tc>
      </w:tr>
      <w:tr w:rsidR="00BA50B4" w:rsidRPr="00BA50B4" w:rsidTr="006419DB">
        <w:tc>
          <w:tcPr>
            <w:tcW w:w="4213" w:type="dxa"/>
          </w:tcPr>
          <w:p w:rsidR="00BA50B4" w:rsidRPr="00BA50B4" w:rsidRDefault="00BA50B4" w:rsidP="006419DB">
            <w:pPr>
              <w:pStyle w:val="ListParagraph"/>
              <w:spacing w:before="100" w:beforeAutospacing="1" w:after="100" w:afterAutospacing="1"/>
              <w:ind w:left="0"/>
              <w:jc w:val="both"/>
              <w:outlineLvl w:val="0"/>
              <w:rPr>
                <w:rFonts w:ascii="Arial" w:hAnsi="Arial" w:cs="Arial"/>
              </w:rPr>
            </w:pPr>
            <w:r w:rsidRPr="00BA50B4">
              <w:rPr>
                <w:rFonts w:ascii="Arial" w:hAnsi="Arial" w:cs="Arial"/>
              </w:rPr>
              <w:t>Capital Assets</w:t>
            </w:r>
          </w:p>
        </w:tc>
        <w:tc>
          <w:tcPr>
            <w:tcW w:w="2591" w:type="dxa"/>
          </w:tcPr>
          <w:p w:rsidR="00BA50B4" w:rsidRPr="00BA50B4" w:rsidRDefault="00BA50B4" w:rsidP="006419DB">
            <w:pPr>
              <w:pStyle w:val="ListParagraph"/>
              <w:spacing w:before="100" w:beforeAutospacing="1" w:after="100" w:afterAutospacing="1"/>
              <w:ind w:left="0"/>
              <w:jc w:val="right"/>
              <w:outlineLvl w:val="0"/>
              <w:rPr>
                <w:rFonts w:ascii="Arial" w:hAnsi="Arial" w:cs="Arial"/>
              </w:rPr>
            </w:pPr>
            <w:r w:rsidRPr="00BA50B4">
              <w:rPr>
                <w:rFonts w:ascii="Arial" w:hAnsi="Arial" w:cs="Arial"/>
              </w:rPr>
              <w:t>4 868</w:t>
            </w:r>
          </w:p>
        </w:tc>
      </w:tr>
      <w:tr w:rsidR="00BA50B4" w:rsidRPr="00BA50B4" w:rsidTr="006419DB">
        <w:tc>
          <w:tcPr>
            <w:tcW w:w="4213" w:type="dxa"/>
          </w:tcPr>
          <w:p w:rsidR="00BA50B4" w:rsidRPr="00BA50B4" w:rsidRDefault="00BA50B4" w:rsidP="006419DB">
            <w:pPr>
              <w:pStyle w:val="ListParagraph"/>
              <w:spacing w:before="100" w:beforeAutospacing="1" w:after="100" w:afterAutospacing="1"/>
              <w:ind w:left="0"/>
              <w:jc w:val="both"/>
              <w:outlineLvl w:val="0"/>
              <w:rPr>
                <w:rFonts w:ascii="Arial" w:hAnsi="Arial" w:cs="Arial"/>
                <w:b/>
              </w:rPr>
            </w:pPr>
            <w:r w:rsidRPr="00BA50B4">
              <w:rPr>
                <w:rFonts w:ascii="Arial" w:hAnsi="Arial" w:cs="Arial"/>
                <w:b/>
              </w:rPr>
              <w:t>Net Results</w:t>
            </w:r>
          </w:p>
        </w:tc>
        <w:tc>
          <w:tcPr>
            <w:tcW w:w="2591" w:type="dxa"/>
          </w:tcPr>
          <w:p w:rsidR="00BA50B4" w:rsidRPr="00BA50B4" w:rsidRDefault="00BA50B4" w:rsidP="006419DB">
            <w:pPr>
              <w:pStyle w:val="ListParagraph"/>
              <w:spacing w:before="100" w:beforeAutospacing="1" w:after="100" w:afterAutospacing="1"/>
              <w:jc w:val="right"/>
              <w:outlineLvl w:val="0"/>
              <w:rPr>
                <w:rFonts w:ascii="Arial" w:hAnsi="Arial" w:cs="Arial"/>
                <w:b/>
              </w:rPr>
            </w:pPr>
            <w:r w:rsidRPr="00BA50B4">
              <w:rPr>
                <w:rFonts w:ascii="Arial" w:hAnsi="Arial" w:cs="Arial"/>
                <w:b/>
              </w:rPr>
              <w:t>(11 841)</w:t>
            </w:r>
          </w:p>
        </w:tc>
      </w:tr>
    </w:tbl>
    <w:p w:rsidR="00BA50B4" w:rsidRPr="00BA50B4" w:rsidRDefault="00BA50B4" w:rsidP="00BA50B4">
      <w:pPr>
        <w:pStyle w:val="ListParagraph"/>
        <w:spacing w:before="100" w:beforeAutospacing="1" w:after="100" w:afterAutospacing="1"/>
        <w:ind w:left="360"/>
        <w:jc w:val="both"/>
        <w:outlineLvl w:val="0"/>
        <w:rPr>
          <w:rFonts w:ascii="Arial" w:eastAsia="Times New Roman" w:hAnsi="Arial" w:cs="Arial"/>
          <w:b/>
        </w:rPr>
      </w:pPr>
      <w:r w:rsidRPr="00BA50B4">
        <w:rPr>
          <w:rFonts w:ascii="Arial" w:eastAsia="Times New Roman" w:hAnsi="Arial" w:cs="Arial"/>
          <w:b/>
        </w:rPr>
        <w:tab/>
        <w:t>Grand total:  R49</w:t>
      </w:r>
      <w:proofErr w:type="gramStart"/>
      <w:r w:rsidRPr="00BA50B4">
        <w:rPr>
          <w:rFonts w:ascii="Arial" w:eastAsia="Times New Roman" w:hAnsi="Arial" w:cs="Arial"/>
          <w:b/>
        </w:rPr>
        <w:t>,727</w:t>
      </w:r>
      <w:proofErr w:type="gramEnd"/>
      <w:r w:rsidRPr="00BA50B4">
        <w:rPr>
          <w:rFonts w:ascii="Arial" w:eastAsia="Times New Roman" w:hAnsi="Arial" w:cs="Arial"/>
          <w:b/>
        </w:rPr>
        <w:t xml:space="preserve"> million</w:t>
      </w:r>
    </w:p>
    <w:p w:rsidR="00BA50B4" w:rsidRPr="00BA50B4" w:rsidRDefault="00BA50B4" w:rsidP="00BA50B4">
      <w:pPr>
        <w:pStyle w:val="ListParagraph"/>
        <w:spacing w:before="100" w:beforeAutospacing="1" w:after="100" w:afterAutospacing="1"/>
        <w:ind w:left="360"/>
        <w:jc w:val="both"/>
        <w:outlineLvl w:val="0"/>
        <w:rPr>
          <w:rFonts w:ascii="Arial" w:eastAsia="Times New Roman" w:hAnsi="Arial" w:cs="Arial"/>
          <w:b/>
        </w:rPr>
      </w:pPr>
    </w:p>
    <w:p w:rsidR="00BA50B4" w:rsidRPr="00BA50B4" w:rsidRDefault="00BA50B4" w:rsidP="00BA50B4">
      <w:pPr>
        <w:pStyle w:val="ListParagraph"/>
        <w:numPr>
          <w:ilvl w:val="0"/>
          <w:numId w:val="14"/>
        </w:numPr>
        <w:spacing w:before="100" w:beforeAutospacing="1" w:after="100" w:afterAutospacing="1"/>
        <w:ind w:left="709" w:hanging="709"/>
        <w:jc w:val="both"/>
        <w:outlineLvl w:val="0"/>
        <w:rPr>
          <w:rFonts w:ascii="Arial" w:eastAsia="Times New Roman" w:hAnsi="Arial" w:cs="Arial"/>
        </w:rPr>
      </w:pPr>
      <w:r w:rsidRPr="00BA50B4">
        <w:rPr>
          <w:rFonts w:ascii="Arial" w:eastAsia="Times New Roman" w:hAnsi="Arial" w:cs="Arial"/>
        </w:rPr>
        <w:t xml:space="preserve">The National Department of Health </w:t>
      </w:r>
      <w:r w:rsidRPr="00BA50B4">
        <w:rPr>
          <w:rFonts w:ascii="Arial" w:eastAsia="Times New Roman" w:hAnsi="Arial" w:cs="Arial"/>
          <w:b/>
        </w:rPr>
        <w:t>did not</w:t>
      </w:r>
      <w:r w:rsidRPr="00BA50B4">
        <w:rPr>
          <w:rFonts w:ascii="Arial" w:eastAsia="Times New Roman" w:hAnsi="Arial" w:cs="Arial"/>
        </w:rPr>
        <w:t xml:space="preserve"> incur irregular expenditure to the value of R922 million for the 2020/21 financial year.  The irregular expenditure disclosed in the Annual Financial Statements for the 2020/21 financial year amounts to R297,888 million and is composed as follows:</w:t>
      </w:r>
    </w:p>
    <w:p w:rsidR="00BA50B4" w:rsidRPr="00BA50B4" w:rsidRDefault="00BA50B4" w:rsidP="00BA50B4">
      <w:pPr>
        <w:pStyle w:val="ListParagraph"/>
        <w:spacing w:before="100" w:beforeAutospacing="1" w:after="100" w:afterAutospacing="1"/>
        <w:ind w:left="360"/>
        <w:jc w:val="both"/>
        <w:outlineLvl w:val="0"/>
        <w:rPr>
          <w:rFonts w:ascii="Arial" w:eastAsia="Times New Roman" w:hAnsi="Arial" w:cs="Arial"/>
        </w:rPr>
      </w:pPr>
    </w:p>
    <w:p w:rsidR="00BA50B4" w:rsidRPr="00BA50B4" w:rsidRDefault="00BA50B4" w:rsidP="00BA50B4">
      <w:pPr>
        <w:pStyle w:val="ListParagraph"/>
        <w:spacing w:before="100" w:beforeAutospacing="1" w:after="100" w:afterAutospacing="1"/>
        <w:ind w:left="709"/>
        <w:jc w:val="both"/>
        <w:outlineLvl w:val="0"/>
        <w:rPr>
          <w:rFonts w:ascii="Arial" w:eastAsia="Times New Roman" w:hAnsi="Arial" w:cs="Arial"/>
        </w:rPr>
      </w:pPr>
      <w:r w:rsidRPr="00BA50B4">
        <w:rPr>
          <w:rFonts w:ascii="Arial" w:eastAsia="Times New Roman" w:hAnsi="Arial" w:cs="Arial"/>
        </w:rPr>
        <w:t>Actual Irregular expenditure incurred in 2020/21</w:t>
      </w:r>
      <w:r w:rsidRPr="00BA50B4">
        <w:rPr>
          <w:rFonts w:ascii="Arial" w:eastAsia="Times New Roman" w:hAnsi="Arial" w:cs="Arial"/>
        </w:rPr>
        <w:tab/>
      </w:r>
      <w:r w:rsidRPr="00BA50B4">
        <w:rPr>
          <w:rFonts w:ascii="Arial" w:eastAsia="Times New Roman" w:hAnsi="Arial" w:cs="Arial"/>
        </w:rPr>
        <w:tab/>
        <w:t>R131</w:t>
      </w:r>
      <w:proofErr w:type="gramStart"/>
      <w:r w:rsidRPr="00BA50B4">
        <w:rPr>
          <w:rFonts w:ascii="Arial" w:eastAsia="Times New Roman" w:hAnsi="Arial" w:cs="Arial"/>
        </w:rPr>
        <w:t>,752</w:t>
      </w:r>
      <w:proofErr w:type="gramEnd"/>
      <w:r w:rsidRPr="00BA50B4">
        <w:rPr>
          <w:rFonts w:ascii="Arial" w:eastAsia="Times New Roman" w:hAnsi="Arial" w:cs="Arial"/>
        </w:rPr>
        <w:t xml:space="preserve"> million</w:t>
      </w:r>
    </w:p>
    <w:p w:rsidR="00BA50B4" w:rsidRPr="00BA50B4" w:rsidRDefault="00BA50B4" w:rsidP="00BA50B4">
      <w:pPr>
        <w:pStyle w:val="ListParagraph"/>
        <w:spacing w:before="100" w:beforeAutospacing="1" w:after="100" w:afterAutospacing="1"/>
        <w:ind w:left="709"/>
        <w:jc w:val="both"/>
        <w:outlineLvl w:val="0"/>
        <w:rPr>
          <w:rFonts w:ascii="Arial" w:eastAsia="Times New Roman" w:hAnsi="Arial" w:cs="Arial"/>
        </w:rPr>
      </w:pPr>
      <w:r w:rsidRPr="00BA50B4">
        <w:rPr>
          <w:rFonts w:ascii="Arial" w:eastAsia="Times New Roman" w:hAnsi="Arial" w:cs="Arial"/>
        </w:rPr>
        <w:t>Irregular expenditure incurred in previous financial years</w:t>
      </w:r>
      <w:r w:rsidRPr="00BA50B4">
        <w:rPr>
          <w:rFonts w:ascii="Arial" w:eastAsia="Times New Roman" w:hAnsi="Arial" w:cs="Arial"/>
        </w:rPr>
        <w:tab/>
      </w:r>
      <w:r w:rsidRPr="00BA50B4">
        <w:rPr>
          <w:rFonts w:ascii="Arial" w:eastAsia="Times New Roman" w:hAnsi="Arial" w:cs="Arial"/>
          <w:u w:val="single"/>
        </w:rPr>
        <w:t>R166</w:t>
      </w:r>
      <w:proofErr w:type="gramStart"/>
      <w:r w:rsidRPr="00BA50B4">
        <w:rPr>
          <w:rFonts w:ascii="Arial" w:eastAsia="Times New Roman" w:hAnsi="Arial" w:cs="Arial"/>
          <w:u w:val="single"/>
        </w:rPr>
        <w:t>,136</w:t>
      </w:r>
      <w:proofErr w:type="gramEnd"/>
      <w:r w:rsidRPr="00BA50B4">
        <w:rPr>
          <w:rFonts w:ascii="Arial" w:eastAsia="Times New Roman" w:hAnsi="Arial" w:cs="Arial"/>
          <w:u w:val="single"/>
        </w:rPr>
        <w:t xml:space="preserve"> million</w:t>
      </w:r>
    </w:p>
    <w:p w:rsidR="00BA50B4" w:rsidRPr="00BA50B4" w:rsidRDefault="00BA50B4" w:rsidP="00BA50B4">
      <w:pPr>
        <w:pStyle w:val="ListParagraph"/>
        <w:spacing w:before="100" w:beforeAutospacing="1" w:after="100" w:afterAutospacing="1"/>
        <w:ind w:left="709"/>
        <w:jc w:val="both"/>
        <w:outlineLvl w:val="0"/>
        <w:rPr>
          <w:rFonts w:ascii="Arial" w:eastAsia="Times New Roman" w:hAnsi="Arial" w:cs="Arial"/>
          <w:b/>
        </w:rPr>
      </w:pPr>
      <w:r w:rsidRPr="00BA50B4">
        <w:rPr>
          <w:rFonts w:ascii="Arial" w:eastAsia="Times New Roman" w:hAnsi="Arial" w:cs="Arial"/>
          <w:b/>
        </w:rPr>
        <w:lastRenderedPageBreak/>
        <w:t>Accumulative amount as at 31 March 2020/21</w:t>
      </w:r>
      <w:r w:rsidRPr="00BA50B4">
        <w:rPr>
          <w:rFonts w:ascii="Arial" w:eastAsia="Times New Roman" w:hAnsi="Arial" w:cs="Arial"/>
          <w:b/>
        </w:rPr>
        <w:tab/>
      </w:r>
      <w:r w:rsidRPr="00BA50B4">
        <w:rPr>
          <w:rFonts w:ascii="Arial" w:eastAsia="Times New Roman" w:hAnsi="Arial" w:cs="Arial"/>
          <w:b/>
        </w:rPr>
        <w:tab/>
        <w:t>R297</w:t>
      </w:r>
      <w:proofErr w:type="gramStart"/>
      <w:r w:rsidRPr="00BA50B4">
        <w:rPr>
          <w:rFonts w:ascii="Arial" w:eastAsia="Times New Roman" w:hAnsi="Arial" w:cs="Arial"/>
          <w:b/>
        </w:rPr>
        <w:t>,888</w:t>
      </w:r>
      <w:proofErr w:type="gramEnd"/>
      <w:r w:rsidRPr="00BA50B4">
        <w:rPr>
          <w:rFonts w:ascii="Arial" w:eastAsia="Times New Roman" w:hAnsi="Arial" w:cs="Arial"/>
          <w:b/>
        </w:rPr>
        <w:t xml:space="preserve"> million</w:t>
      </w:r>
    </w:p>
    <w:p w:rsidR="00BA50B4" w:rsidRPr="00BA50B4" w:rsidRDefault="00BA50B4" w:rsidP="00BA50B4">
      <w:pPr>
        <w:pStyle w:val="ListParagraph"/>
        <w:numPr>
          <w:ilvl w:val="0"/>
          <w:numId w:val="14"/>
        </w:numPr>
        <w:spacing w:before="100" w:beforeAutospacing="1" w:after="100" w:afterAutospacing="1"/>
        <w:ind w:left="709" w:hanging="709"/>
        <w:jc w:val="both"/>
        <w:outlineLvl w:val="0"/>
        <w:rPr>
          <w:rFonts w:ascii="Arial" w:eastAsia="Times New Roman" w:hAnsi="Arial" w:cs="Arial"/>
        </w:rPr>
      </w:pPr>
      <w:r w:rsidRPr="00BA50B4">
        <w:rPr>
          <w:rFonts w:ascii="Arial" w:eastAsia="Times New Roman" w:hAnsi="Arial" w:cs="Arial"/>
        </w:rPr>
        <w:t xml:space="preserve">The National Department of Health </w:t>
      </w:r>
      <w:r w:rsidRPr="00BA50B4">
        <w:rPr>
          <w:rFonts w:ascii="Arial" w:eastAsia="Times New Roman" w:hAnsi="Arial" w:cs="Arial"/>
          <w:b/>
        </w:rPr>
        <w:t>did not</w:t>
      </w:r>
      <w:r w:rsidRPr="00BA50B4">
        <w:rPr>
          <w:rFonts w:ascii="Arial" w:eastAsia="Times New Roman" w:hAnsi="Arial" w:cs="Arial"/>
        </w:rPr>
        <w:t xml:space="preserve"> incur R849 million for the 2019/20 financial year. The irregular expenditure disclosed in the Annual Financial Statements for the 2019/20 financial year amounts to R166,136 million and is composed as follows:</w:t>
      </w:r>
    </w:p>
    <w:p w:rsidR="00BA50B4" w:rsidRPr="00BA50B4" w:rsidRDefault="00BA50B4" w:rsidP="00BA50B4">
      <w:pPr>
        <w:pStyle w:val="ListParagraph"/>
        <w:spacing w:before="100" w:beforeAutospacing="1" w:after="100" w:afterAutospacing="1"/>
        <w:ind w:left="360"/>
        <w:jc w:val="both"/>
        <w:outlineLvl w:val="0"/>
        <w:rPr>
          <w:rFonts w:ascii="Arial" w:eastAsia="Times New Roman" w:hAnsi="Arial" w:cs="Arial"/>
        </w:rPr>
      </w:pPr>
    </w:p>
    <w:p w:rsidR="00BA50B4" w:rsidRPr="00BA50B4" w:rsidRDefault="00BA50B4" w:rsidP="00BA50B4">
      <w:pPr>
        <w:pStyle w:val="ListParagraph"/>
        <w:spacing w:before="100" w:beforeAutospacing="1" w:after="100" w:afterAutospacing="1"/>
        <w:ind w:left="709"/>
        <w:jc w:val="both"/>
        <w:outlineLvl w:val="0"/>
        <w:rPr>
          <w:rFonts w:ascii="Arial" w:eastAsia="Times New Roman" w:hAnsi="Arial" w:cs="Arial"/>
        </w:rPr>
      </w:pPr>
      <w:r w:rsidRPr="00BA50B4">
        <w:rPr>
          <w:rFonts w:ascii="Arial" w:eastAsia="Times New Roman" w:hAnsi="Arial" w:cs="Arial"/>
        </w:rPr>
        <w:t>Actual Irregular expenditure incurred in 2019/20</w:t>
      </w:r>
      <w:r w:rsidRPr="00BA50B4">
        <w:rPr>
          <w:rFonts w:ascii="Arial" w:eastAsia="Times New Roman" w:hAnsi="Arial" w:cs="Arial"/>
        </w:rPr>
        <w:tab/>
      </w:r>
      <w:r w:rsidRPr="00BA50B4">
        <w:rPr>
          <w:rFonts w:ascii="Arial" w:eastAsia="Times New Roman" w:hAnsi="Arial" w:cs="Arial"/>
        </w:rPr>
        <w:tab/>
      </w:r>
      <w:proofErr w:type="gramStart"/>
      <w:r w:rsidRPr="00BA50B4">
        <w:rPr>
          <w:rFonts w:ascii="Arial" w:eastAsia="Times New Roman" w:hAnsi="Arial" w:cs="Arial"/>
        </w:rPr>
        <w:t>R  58,784</w:t>
      </w:r>
      <w:proofErr w:type="gramEnd"/>
      <w:r w:rsidRPr="00BA50B4">
        <w:rPr>
          <w:rFonts w:ascii="Arial" w:eastAsia="Times New Roman" w:hAnsi="Arial" w:cs="Arial"/>
        </w:rPr>
        <w:t xml:space="preserve"> million</w:t>
      </w:r>
    </w:p>
    <w:p w:rsidR="00BA50B4" w:rsidRPr="00BA50B4" w:rsidRDefault="00BA50B4" w:rsidP="00BA50B4">
      <w:pPr>
        <w:pStyle w:val="ListParagraph"/>
        <w:spacing w:before="100" w:beforeAutospacing="1" w:after="100" w:afterAutospacing="1"/>
        <w:ind w:left="709"/>
        <w:jc w:val="both"/>
        <w:outlineLvl w:val="0"/>
        <w:rPr>
          <w:rFonts w:ascii="Arial" w:eastAsia="Times New Roman" w:hAnsi="Arial" w:cs="Arial"/>
        </w:rPr>
      </w:pPr>
      <w:r w:rsidRPr="00BA50B4">
        <w:rPr>
          <w:rFonts w:ascii="Arial" w:eastAsia="Times New Roman" w:hAnsi="Arial" w:cs="Arial"/>
        </w:rPr>
        <w:t>Irregular expenditure incurred in previous financial years</w:t>
      </w:r>
      <w:r w:rsidRPr="00BA50B4">
        <w:rPr>
          <w:rFonts w:ascii="Arial" w:eastAsia="Times New Roman" w:hAnsi="Arial" w:cs="Arial"/>
        </w:rPr>
        <w:tab/>
      </w:r>
      <w:r w:rsidRPr="00BA50B4">
        <w:rPr>
          <w:rFonts w:ascii="Arial" w:eastAsia="Times New Roman" w:hAnsi="Arial" w:cs="Arial"/>
          <w:u w:val="single"/>
        </w:rPr>
        <w:t>R107</w:t>
      </w:r>
      <w:proofErr w:type="gramStart"/>
      <w:r w:rsidRPr="00BA50B4">
        <w:rPr>
          <w:rFonts w:ascii="Arial" w:eastAsia="Times New Roman" w:hAnsi="Arial" w:cs="Arial"/>
          <w:u w:val="single"/>
        </w:rPr>
        <w:t>,352</w:t>
      </w:r>
      <w:proofErr w:type="gramEnd"/>
      <w:r w:rsidRPr="00BA50B4">
        <w:rPr>
          <w:rFonts w:ascii="Arial" w:eastAsia="Times New Roman" w:hAnsi="Arial" w:cs="Arial"/>
          <w:u w:val="single"/>
        </w:rPr>
        <w:t xml:space="preserve"> million</w:t>
      </w:r>
    </w:p>
    <w:p w:rsidR="00BA50B4" w:rsidRPr="00BA50B4" w:rsidRDefault="00BA50B4" w:rsidP="00BA50B4">
      <w:pPr>
        <w:pStyle w:val="ListParagraph"/>
        <w:spacing w:before="100" w:beforeAutospacing="1" w:after="100" w:afterAutospacing="1"/>
        <w:ind w:left="709"/>
        <w:jc w:val="both"/>
        <w:outlineLvl w:val="0"/>
        <w:rPr>
          <w:rFonts w:ascii="Arial" w:eastAsia="Times New Roman" w:hAnsi="Arial" w:cs="Arial"/>
          <w:b/>
        </w:rPr>
      </w:pPr>
      <w:r w:rsidRPr="00BA50B4">
        <w:rPr>
          <w:rFonts w:ascii="Arial" w:eastAsia="Times New Roman" w:hAnsi="Arial" w:cs="Arial"/>
          <w:b/>
        </w:rPr>
        <w:t>Accumulative amount as at 31 March 2019/20</w:t>
      </w:r>
      <w:r w:rsidRPr="00BA50B4">
        <w:rPr>
          <w:rFonts w:ascii="Arial" w:eastAsia="Times New Roman" w:hAnsi="Arial" w:cs="Arial"/>
          <w:b/>
        </w:rPr>
        <w:tab/>
      </w:r>
      <w:r w:rsidRPr="00BA50B4">
        <w:rPr>
          <w:rFonts w:ascii="Arial" w:eastAsia="Times New Roman" w:hAnsi="Arial" w:cs="Arial"/>
          <w:b/>
        </w:rPr>
        <w:tab/>
        <w:t>R166</w:t>
      </w:r>
      <w:proofErr w:type="gramStart"/>
      <w:r w:rsidRPr="00BA50B4">
        <w:rPr>
          <w:rFonts w:ascii="Arial" w:eastAsia="Times New Roman" w:hAnsi="Arial" w:cs="Arial"/>
          <w:b/>
        </w:rPr>
        <w:t>,136</w:t>
      </w:r>
      <w:proofErr w:type="gramEnd"/>
      <w:r w:rsidRPr="00BA50B4">
        <w:rPr>
          <w:rFonts w:ascii="Arial" w:eastAsia="Times New Roman" w:hAnsi="Arial" w:cs="Arial"/>
          <w:b/>
        </w:rPr>
        <w:t xml:space="preserve"> million</w:t>
      </w:r>
    </w:p>
    <w:p w:rsidR="00BA50B4" w:rsidRDefault="00BA50B4" w:rsidP="00BA50B4">
      <w:pPr>
        <w:pStyle w:val="ListParagraph"/>
        <w:spacing w:before="100" w:beforeAutospacing="1" w:after="100" w:afterAutospacing="1"/>
        <w:ind w:left="709" w:right="-144"/>
        <w:jc w:val="both"/>
        <w:outlineLvl w:val="0"/>
        <w:rPr>
          <w:rFonts w:ascii="Arial" w:eastAsia="Times New Roman" w:hAnsi="Arial" w:cs="Arial"/>
        </w:rPr>
      </w:pPr>
    </w:p>
    <w:p w:rsidR="00BA50B4" w:rsidRPr="00BA50B4" w:rsidRDefault="00BA50B4" w:rsidP="00BA50B4">
      <w:pPr>
        <w:pStyle w:val="ListParagraph"/>
        <w:spacing w:before="100" w:beforeAutospacing="1" w:after="100" w:afterAutospacing="1"/>
        <w:ind w:left="709" w:right="-144"/>
        <w:jc w:val="both"/>
        <w:outlineLvl w:val="0"/>
        <w:rPr>
          <w:rFonts w:ascii="Arial" w:hAnsi="Arial" w:cs="Arial"/>
        </w:rPr>
      </w:pPr>
      <w:r w:rsidRPr="00BA50B4">
        <w:rPr>
          <w:rFonts w:ascii="Arial" w:eastAsia="Times New Roman" w:hAnsi="Arial" w:cs="Arial"/>
        </w:rPr>
        <w:tab/>
        <w:t>With regards to disciplinary procedures, c</w:t>
      </w:r>
      <w:r w:rsidRPr="00BA50B4">
        <w:rPr>
          <w:rFonts w:ascii="Arial" w:hAnsi="Arial" w:cs="Arial"/>
        </w:rPr>
        <w:t xml:space="preserve">ases have been sent for assessment in terms of the Irregular Expenditure Framework as published by National Treasury, dated 16 May 2019 to determine whether the transactions are indeed irregular or not. Some of these transactions have been sent to the Office of the Accountant-General to determine if indeed the findings of AGSA are valid or not in terms of the Mechanism for Resolving Disagreement </w:t>
      </w:r>
      <w:proofErr w:type="gramStart"/>
      <w:r w:rsidRPr="00BA50B4">
        <w:rPr>
          <w:rFonts w:ascii="Arial" w:hAnsi="Arial" w:cs="Arial"/>
        </w:rPr>
        <w:t>Between</w:t>
      </w:r>
      <w:proofErr w:type="gramEnd"/>
      <w:r w:rsidRPr="00BA50B4">
        <w:rPr>
          <w:rFonts w:ascii="Arial" w:hAnsi="Arial" w:cs="Arial"/>
        </w:rPr>
        <w:t xml:space="preserve"> the Auditor (AGSA) and Auditee dated 01 June 2021, the auditee in this cases is (NDOH).  Some of the officials implicated in the cases mentioned had been suspended and disciplinary hearings are underway/ in progress.</w:t>
      </w:r>
    </w:p>
    <w:p w:rsidR="00E17D06" w:rsidRPr="00BA50B4" w:rsidRDefault="00E17D06" w:rsidP="00037963">
      <w:pPr>
        <w:pStyle w:val="ListParagraph"/>
        <w:tabs>
          <w:tab w:val="left" w:pos="0"/>
        </w:tabs>
        <w:spacing w:before="100" w:beforeAutospacing="1" w:after="100" w:afterAutospacing="1"/>
        <w:ind w:left="0" w:right="-144"/>
        <w:jc w:val="both"/>
        <w:outlineLvl w:val="0"/>
        <w:rPr>
          <w:rFonts w:ascii="Arial" w:hAnsi="Arial" w:cs="Arial"/>
        </w:rPr>
      </w:pPr>
    </w:p>
    <w:p w:rsidR="00A07C4E" w:rsidRPr="00BA50B4" w:rsidRDefault="00A07C4E" w:rsidP="000F46BE">
      <w:pPr>
        <w:pStyle w:val="ListParagraph"/>
        <w:spacing w:after="120"/>
        <w:ind w:left="0"/>
        <w:contextualSpacing w:val="0"/>
        <w:jc w:val="both"/>
        <w:rPr>
          <w:rFonts w:ascii="Arial" w:hAnsi="Arial" w:cs="Arial"/>
        </w:rPr>
      </w:pPr>
    </w:p>
    <w:p w:rsidR="00FD6DC1" w:rsidRPr="00A07C4E" w:rsidRDefault="002D3905" w:rsidP="000F46BE">
      <w:pPr>
        <w:pStyle w:val="ListParagraph"/>
        <w:spacing w:after="120"/>
        <w:ind w:left="0"/>
        <w:contextualSpacing w:val="0"/>
        <w:jc w:val="both"/>
        <w:rPr>
          <w:rFonts w:ascii="Arial" w:hAnsi="Arial" w:cs="Arial"/>
        </w:rPr>
      </w:pPr>
      <w:r w:rsidRPr="00A07C4E">
        <w:rPr>
          <w:rFonts w:ascii="Arial" w:hAnsi="Arial" w:cs="Arial"/>
        </w:rPr>
        <w:t>END</w:t>
      </w:r>
      <w:r w:rsidR="00F76732" w:rsidRPr="00A07C4E">
        <w:rPr>
          <w:rFonts w:ascii="Arial" w:hAnsi="Arial" w:cs="Arial"/>
        </w:rPr>
        <w:t>.</w:t>
      </w:r>
    </w:p>
    <w:p w:rsidR="00E84016" w:rsidRPr="00A07C4E" w:rsidRDefault="0085491B">
      <w:pPr>
        <w:rPr>
          <w:rFonts w:ascii="Arial" w:hAnsi="Arial" w:cs="Arial"/>
          <w:sz w:val="24"/>
          <w:szCs w:val="24"/>
        </w:rPr>
      </w:pPr>
    </w:p>
    <w:sectPr w:rsidR="00E84016" w:rsidRPr="00A07C4E" w:rsidSect="00B64BF5">
      <w:pgSz w:w="11906" w:h="16838"/>
      <w:pgMar w:top="1134" w:right="1304"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7E84"/>
    <w:multiLevelType w:val="hybridMultilevel"/>
    <w:tmpl w:val="129AF3D2"/>
    <w:lvl w:ilvl="0" w:tplc="5B568DB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9734C2F"/>
    <w:multiLevelType w:val="hybridMultilevel"/>
    <w:tmpl w:val="90F6B610"/>
    <w:lvl w:ilvl="0" w:tplc="C6C054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74E5A2E"/>
    <w:multiLevelType w:val="hybridMultilevel"/>
    <w:tmpl w:val="CEC63B38"/>
    <w:lvl w:ilvl="0" w:tplc="F7425F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FCA6908"/>
    <w:multiLevelType w:val="hybridMultilevel"/>
    <w:tmpl w:val="ECF89D54"/>
    <w:lvl w:ilvl="0" w:tplc="0E8204A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45336F80"/>
    <w:multiLevelType w:val="hybridMultilevel"/>
    <w:tmpl w:val="B0E84F2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95A4495"/>
    <w:multiLevelType w:val="hybridMultilevel"/>
    <w:tmpl w:val="5AAE5BE0"/>
    <w:lvl w:ilvl="0" w:tplc="96140F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BD32B0A"/>
    <w:multiLevelType w:val="hybridMultilevel"/>
    <w:tmpl w:val="18F6E13A"/>
    <w:lvl w:ilvl="0" w:tplc="107E179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ECD48A3"/>
    <w:multiLevelType w:val="multilevel"/>
    <w:tmpl w:val="A640676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8">
    <w:nsid w:val="51A276A4"/>
    <w:multiLevelType w:val="hybridMultilevel"/>
    <w:tmpl w:val="835E2A40"/>
    <w:lvl w:ilvl="0" w:tplc="211C7CA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D1244"/>
    <w:multiLevelType w:val="hybridMultilevel"/>
    <w:tmpl w:val="F062861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56BF2FCC"/>
    <w:multiLevelType w:val="hybridMultilevel"/>
    <w:tmpl w:val="B9A2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EE5759"/>
    <w:multiLevelType w:val="hybridMultilevel"/>
    <w:tmpl w:val="ABD23F8C"/>
    <w:lvl w:ilvl="0" w:tplc="DDEC2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6D6895"/>
    <w:multiLevelType w:val="hybridMultilevel"/>
    <w:tmpl w:val="9872DB46"/>
    <w:lvl w:ilvl="0" w:tplc="2000EFBC">
      <w:start w:val="5"/>
      <w:numFmt w:val="bullet"/>
      <w:lvlText w:val="-"/>
      <w:lvlJc w:val="left"/>
      <w:pPr>
        <w:ind w:left="1069" w:hanging="360"/>
      </w:pPr>
      <w:rPr>
        <w:rFonts w:ascii="Arial" w:eastAsiaTheme="minorHAnsi" w:hAnsi="Aria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3">
    <w:nsid w:val="64EC7B4C"/>
    <w:multiLevelType w:val="hybridMultilevel"/>
    <w:tmpl w:val="744E4DE2"/>
    <w:lvl w:ilvl="0" w:tplc="F530DA3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2"/>
  </w:num>
  <w:num w:numId="5">
    <w:abstractNumId w:val="12"/>
  </w:num>
  <w:num w:numId="6">
    <w:abstractNumId w:val="6"/>
  </w:num>
  <w:num w:numId="7">
    <w:abstractNumId w:val="13"/>
  </w:num>
  <w:num w:numId="8">
    <w:abstractNumId w:val="5"/>
  </w:num>
  <w:num w:numId="9">
    <w:abstractNumId w:val="9"/>
  </w:num>
  <w:num w:numId="10">
    <w:abstractNumId w:val="7"/>
  </w:num>
  <w:num w:numId="11">
    <w:abstractNumId w:val="10"/>
  </w:num>
  <w:num w:numId="12">
    <w:abstractNumId w:val="4"/>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compat/>
  <w:rsids>
    <w:rsidRoot w:val="00FD6DC1"/>
    <w:rsid w:val="00037963"/>
    <w:rsid w:val="000A0548"/>
    <w:rsid w:val="000F46BE"/>
    <w:rsid w:val="002D3905"/>
    <w:rsid w:val="003F2493"/>
    <w:rsid w:val="0042625E"/>
    <w:rsid w:val="004B2D10"/>
    <w:rsid w:val="00547E69"/>
    <w:rsid w:val="00582D96"/>
    <w:rsid w:val="00703070"/>
    <w:rsid w:val="00740B73"/>
    <w:rsid w:val="0085491B"/>
    <w:rsid w:val="008F426B"/>
    <w:rsid w:val="009A5319"/>
    <w:rsid w:val="009E3650"/>
    <w:rsid w:val="00A07C4E"/>
    <w:rsid w:val="00AD09BD"/>
    <w:rsid w:val="00B64BF5"/>
    <w:rsid w:val="00BA50B4"/>
    <w:rsid w:val="00CB0CD6"/>
    <w:rsid w:val="00CD1883"/>
    <w:rsid w:val="00D737B8"/>
    <w:rsid w:val="00E12761"/>
    <w:rsid w:val="00E17D06"/>
    <w:rsid w:val="00E25E57"/>
    <w:rsid w:val="00F74F66"/>
    <w:rsid w:val="00F76732"/>
    <w:rsid w:val="00FD6DC1"/>
    <w:rsid w:val="00FE270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ZA" w:eastAsia="en-US" w:bidi="ar-SA"/>
      </w:rPr>
    </w:rPrDefault>
    <w:pPrDefault>
      <w:pPr>
        <w:spacing w:after="240" w:line="360" w:lineRule="auto"/>
        <w:ind w:left="1701" w:hanging="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C1"/>
    <w:pPr>
      <w:spacing w:after="160" w:line="259" w:lineRule="auto"/>
      <w:ind w:left="0" w:firstLine="0"/>
      <w:jc w:val="left"/>
    </w:pPr>
    <w:rPr>
      <w:rFonts w:asciiTheme="minorHAnsi" w:hAnsiTheme="minorHAnsi" w:cstheme="minorBidi"/>
      <w:sz w:val="22"/>
      <w:szCs w:val="22"/>
    </w:rPr>
  </w:style>
  <w:style w:type="paragraph" w:styleId="Heading1">
    <w:name w:val="heading 1"/>
    <w:basedOn w:val="Normal"/>
    <w:next w:val="Normal"/>
    <w:link w:val="Heading1Char"/>
    <w:qFormat/>
    <w:rsid w:val="00FD6DC1"/>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FD6DC1"/>
    <w:pPr>
      <w:spacing w:after="0" w:line="240" w:lineRule="auto"/>
      <w:ind w:left="720"/>
      <w:contextualSpacing/>
    </w:pPr>
    <w:rPr>
      <w:rFonts w:ascii="Calibri" w:eastAsia="SimSun" w:hAnsi="Calibri" w:cs="Times New Roman"/>
      <w:sz w:val="24"/>
      <w:szCs w:val="24"/>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6DC1"/>
    <w:rPr>
      <w:rFonts w:ascii="Calibri" w:eastAsia="SimSun" w:hAnsi="Calibri" w:cs="Times New Roman"/>
      <w:lang w:eastAsia="en-ZA"/>
    </w:rPr>
  </w:style>
  <w:style w:type="character" w:styleId="Emphasis">
    <w:name w:val="Emphasis"/>
    <w:basedOn w:val="DefaultParagraphFont"/>
    <w:uiPriority w:val="20"/>
    <w:qFormat/>
    <w:rsid w:val="00FD6DC1"/>
    <w:rPr>
      <w:rFonts w:cs="Times New Roman"/>
      <w:i/>
      <w:iCs/>
    </w:rPr>
  </w:style>
  <w:style w:type="character" w:customStyle="1" w:styleId="Heading1Char">
    <w:name w:val="Heading 1 Char"/>
    <w:basedOn w:val="DefaultParagraphFont"/>
    <w:link w:val="Heading1"/>
    <w:uiPriority w:val="9"/>
    <w:rsid w:val="00FD6DC1"/>
    <w:rPr>
      <w:rFonts w:eastAsia="Times New Roman"/>
      <w:b/>
      <w:bCs/>
      <w:sz w:val="12"/>
      <w:lang w:val="en-US"/>
    </w:rPr>
  </w:style>
  <w:style w:type="paragraph" w:styleId="BodyText">
    <w:name w:val="Body Text"/>
    <w:basedOn w:val="Normal"/>
    <w:link w:val="BodyTextChar"/>
    <w:rsid w:val="00FD6DC1"/>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FD6DC1"/>
    <w:rPr>
      <w:rFonts w:eastAsia="Times New Roman"/>
      <w:sz w:val="22"/>
      <w:lang w:val="en-US"/>
    </w:rPr>
  </w:style>
  <w:style w:type="table" w:styleId="TableGrid">
    <w:name w:val="Table Grid"/>
    <w:basedOn w:val="TableNormal"/>
    <w:uiPriority w:val="59"/>
    <w:rsid w:val="002D3905"/>
    <w:pPr>
      <w:spacing w:after="0" w:line="240" w:lineRule="auto"/>
      <w:ind w:left="0"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46B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msonormal">
    <w:name w:val="x_msonormal"/>
    <w:basedOn w:val="Normal"/>
    <w:rsid w:val="004B2D1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msolistparagraph">
    <w:name w:val="x_msolistparagraph"/>
    <w:basedOn w:val="Normal"/>
    <w:rsid w:val="004B2D10"/>
    <w:pPr>
      <w:spacing w:after="0" w:line="240" w:lineRule="auto"/>
      <w:ind w:left="720"/>
    </w:pPr>
    <w:rPr>
      <w:rFonts w:ascii="Calibri" w:hAnsi="Calibri" w:cs="Calibri"/>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dcterms:created xsi:type="dcterms:W3CDTF">2022-03-18T12:02:00Z</dcterms:created>
  <dcterms:modified xsi:type="dcterms:W3CDTF">2022-03-18T12:02:00Z</dcterms:modified>
</cp:coreProperties>
</file>