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1" w:rsidRPr="002D7000" w:rsidRDefault="002D7000" w:rsidP="002D7000">
      <w:pPr>
        <w:spacing w:after="0" w:line="240" w:lineRule="auto"/>
        <w:rPr>
          <w:rFonts w:ascii="Arial" w:hAnsi="Arial" w:cs="Arial"/>
          <w:sz w:val="20"/>
          <w:szCs w:val="20"/>
        </w:rPr>
      </w:pPr>
      <w:r w:rsidRPr="002D7000">
        <w:rPr>
          <w:rFonts w:ascii="Arial" w:hAnsi="Arial" w:cs="Arial"/>
          <w:b/>
          <w:sz w:val="20"/>
          <w:szCs w:val="20"/>
        </w:rPr>
        <w:t xml:space="preserve">NATIONAL ASSEMBLY </w:t>
      </w:r>
      <w:r w:rsidRPr="002D7000">
        <w:rPr>
          <w:rFonts w:ascii="Arial" w:hAnsi="Arial" w:cs="Arial"/>
          <w:b/>
          <w:sz w:val="20"/>
          <w:szCs w:val="20"/>
        </w:rPr>
        <w:br/>
        <w:t xml:space="preserve">QUESTION FOR WRITTEN REPLY </w:t>
      </w:r>
      <w:r w:rsidRPr="002D7000">
        <w:rPr>
          <w:rFonts w:ascii="Arial" w:hAnsi="Arial" w:cs="Arial"/>
          <w:b/>
          <w:sz w:val="20"/>
          <w:szCs w:val="20"/>
        </w:rPr>
        <w:br/>
        <w:t xml:space="preserve">QUESTION NO.: PQ 4552 QUESTION: 4552. </w:t>
      </w:r>
      <w:r w:rsidRPr="002D7000">
        <w:rPr>
          <w:rFonts w:ascii="Arial" w:hAnsi="Arial" w:cs="Arial"/>
          <w:b/>
          <w:sz w:val="20"/>
          <w:szCs w:val="20"/>
        </w:rPr>
        <w:br/>
      </w:r>
      <w:r w:rsidRPr="002D7000">
        <w:rPr>
          <w:rFonts w:ascii="Arial" w:hAnsi="Arial" w:cs="Arial"/>
          <w:b/>
          <w:sz w:val="20"/>
          <w:szCs w:val="20"/>
        </w:rPr>
        <w:br/>
        <w:t xml:space="preserve">Prof. CT </w:t>
      </w:r>
      <w:proofErr w:type="spellStart"/>
      <w:r w:rsidRPr="002D7000">
        <w:rPr>
          <w:rFonts w:ascii="Arial" w:hAnsi="Arial" w:cs="Arial"/>
          <w:b/>
          <w:sz w:val="20"/>
          <w:szCs w:val="20"/>
        </w:rPr>
        <w:t>Msimang</w:t>
      </w:r>
      <w:proofErr w:type="spellEnd"/>
      <w:r w:rsidRPr="002D7000">
        <w:rPr>
          <w:rFonts w:ascii="Arial" w:hAnsi="Arial" w:cs="Arial"/>
          <w:b/>
          <w:sz w:val="20"/>
          <w:szCs w:val="20"/>
        </w:rPr>
        <w:t xml:space="preserve"> (IFP) to ask the Minister of Public Enterprises:</w:t>
      </w:r>
      <w:r w:rsidRPr="002D7000">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2D7000">
        <w:rPr>
          <w:rFonts w:ascii="Arial" w:hAnsi="Arial" w:cs="Arial"/>
          <w:sz w:val="20"/>
          <w:szCs w:val="20"/>
        </w:rPr>
        <w:t xml:space="preserve">Whether he will furnish Prof. CT </w:t>
      </w:r>
      <w:proofErr w:type="spellStart"/>
      <w:r w:rsidRPr="002D7000">
        <w:rPr>
          <w:rFonts w:ascii="Arial" w:hAnsi="Arial" w:cs="Arial"/>
          <w:sz w:val="20"/>
          <w:szCs w:val="20"/>
        </w:rPr>
        <w:t>Msimang</w:t>
      </w:r>
      <w:proofErr w:type="spellEnd"/>
      <w:r w:rsidRPr="002D7000">
        <w:rPr>
          <w:rFonts w:ascii="Arial" w:hAnsi="Arial" w:cs="Arial"/>
          <w:sz w:val="20"/>
          <w:szCs w:val="20"/>
        </w:rPr>
        <w:t xml:space="preserve"> with an audit report of (a) municipalities that (</w:t>
      </w:r>
      <w:proofErr w:type="spellStart"/>
      <w:r w:rsidRPr="002D7000">
        <w:rPr>
          <w:rFonts w:ascii="Arial" w:hAnsi="Arial" w:cs="Arial"/>
          <w:sz w:val="20"/>
          <w:szCs w:val="20"/>
        </w:rPr>
        <w:t>i</w:t>
      </w:r>
      <w:proofErr w:type="spellEnd"/>
      <w:r w:rsidRPr="002D7000">
        <w:rPr>
          <w:rFonts w:ascii="Arial" w:hAnsi="Arial" w:cs="Arial"/>
          <w:sz w:val="20"/>
          <w:szCs w:val="20"/>
        </w:rPr>
        <w:t xml:space="preserve">) have applied to his department to provide free basic electricity for indigent households and (ii) are currently providing free basic electricity for indigent households and (b) total number of municipalities that are providing such free basic electricity; if not, why not; if so, what are the relevant details? </w:t>
      </w:r>
      <w:r>
        <w:rPr>
          <w:rFonts w:ascii="Arial" w:hAnsi="Arial" w:cs="Arial"/>
          <w:sz w:val="20"/>
          <w:szCs w:val="20"/>
        </w:rPr>
        <w:br/>
      </w:r>
      <w:r>
        <w:rPr>
          <w:rFonts w:ascii="Arial" w:hAnsi="Arial" w:cs="Arial"/>
          <w:sz w:val="20"/>
          <w:szCs w:val="20"/>
        </w:rPr>
        <w:br/>
      </w:r>
      <w:r w:rsidRPr="002D7000">
        <w:rPr>
          <w:rFonts w:ascii="Arial" w:hAnsi="Arial" w:cs="Arial"/>
          <w:b/>
          <w:sz w:val="20"/>
          <w:szCs w:val="20"/>
        </w:rPr>
        <w:t xml:space="preserve">REPLY: </w:t>
      </w:r>
      <w:r w:rsidRPr="002D7000">
        <w:rPr>
          <w:rFonts w:ascii="Arial" w:hAnsi="Arial" w:cs="Arial"/>
          <w:b/>
          <w:sz w:val="20"/>
          <w:szCs w:val="20"/>
        </w:rPr>
        <w:br/>
      </w:r>
      <w:r>
        <w:rPr>
          <w:rFonts w:ascii="Arial" w:hAnsi="Arial" w:cs="Arial"/>
          <w:sz w:val="20"/>
          <w:szCs w:val="20"/>
        </w:rPr>
        <w:br/>
      </w:r>
      <w:r w:rsidRPr="002D7000">
        <w:rPr>
          <w:rFonts w:ascii="Arial" w:hAnsi="Arial" w:cs="Arial"/>
          <w:sz w:val="20"/>
          <w:szCs w:val="20"/>
        </w:rPr>
        <w:t xml:space="preserve">According to information received from Eskom: </w:t>
      </w:r>
      <w:r>
        <w:rPr>
          <w:rFonts w:ascii="Arial" w:hAnsi="Arial" w:cs="Arial"/>
          <w:sz w:val="20"/>
          <w:szCs w:val="20"/>
        </w:rPr>
        <w:br/>
      </w:r>
      <w:r>
        <w:rPr>
          <w:rFonts w:ascii="Arial" w:hAnsi="Arial" w:cs="Arial"/>
          <w:sz w:val="20"/>
          <w:szCs w:val="20"/>
        </w:rPr>
        <w:br/>
      </w:r>
      <w:r w:rsidRPr="002D7000">
        <w:rPr>
          <w:rFonts w:ascii="Arial" w:hAnsi="Arial" w:cs="Arial"/>
          <w:sz w:val="20"/>
          <w:szCs w:val="20"/>
        </w:rPr>
        <w:t xml:space="preserve">NB – The responses are based on Eskom records and exclude municipalities that provide Free Basic Electricity (FBE) directly to their areas of supply. </w:t>
      </w:r>
      <w:r>
        <w:rPr>
          <w:rFonts w:ascii="Arial" w:hAnsi="Arial" w:cs="Arial"/>
          <w:sz w:val="20"/>
          <w:szCs w:val="20"/>
        </w:rPr>
        <w:br/>
      </w:r>
      <w:r>
        <w:rPr>
          <w:rFonts w:ascii="Arial" w:hAnsi="Arial" w:cs="Arial"/>
          <w:sz w:val="20"/>
          <w:szCs w:val="20"/>
        </w:rPr>
        <w:br/>
      </w:r>
      <w:r w:rsidRPr="002D7000">
        <w:rPr>
          <w:rFonts w:ascii="Arial" w:hAnsi="Arial" w:cs="Arial"/>
          <w:sz w:val="20"/>
          <w:szCs w:val="20"/>
        </w:rPr>
        <w:t xml:space="preserve">(a) Municipalities that </w:t>
      </w:r>
      <w:r>
        <w:rPr>
          <w:rFonts w:ascii="Arial" w:hAnsi="Arial" w:cs="Arial"/>
          <w:sz w:val="20"/>
          <w:szCs w:val="20"/>
        </w:rPr>
        <w:br/>
      </w:r>
      <w:r w:rsidRPr="002D7000">
        <w:rPr>
          <w:rFonts w:ascii="Arial" w:hAnsi="Arial" w:cs="Arial"/>
          <w:sz w:val="20"/>
          <w:szCs w:val="20"/>
        </w:rPr>
        <w:t>(</w:t>
      </w:r>
      <w:proofErr w:type="spellStart"/>
      <w:r w:rsidRPr="002D7000">
        <w:rPr>
          <w:rFonts w:ascii="Arial" w:hAnsi="Arial" w:cs="Arial"/>
          <w:sz w:val="20"/>
          <w:szCs w:val="20"/>
        </w:rPr>
        <w:t>i</w:t>
      </w:r>
      <w:proofErr w:type="spellEnd"/>
      <w:r w:rsidRPr="002D7000">
        <w:rPr>
          <w:rFonts w:ascii="Arial" w:hAnsi="Arial" w:cs="Arial"/>
          <w:sz w:val="20"/>
          <w:szCs w:val="20"/>
        </w:rPr>
        <w:t xml:space="preserve">) have applied to provide FBE for indigent households? According to Eskom’s records, there are 248. Some municipalities may have merged and are yet to update their records with Eskom. </w:t>
      </w:r>
      <w:r>
        <w:rPr>
          <w:rFonts w:ascii="Arial" w:hAnsi="Arial" w:cs="Arial"/>
          <w:sz w:val="20"/>
          <w:szCs w:val="20"/>
        </w:rPr>
        <w:br/>
      </w:r>
      <w:r w:rsidRPr="002D7000">
        <w:rPr>
          <w:rFonts w:ascii="Arial" w:hAnsi="Arial" w:cs="Arial"/>
          <w:sz w:val="20"/>
          <w:szCs w:val="20"/>
        </w:rPr>
        <w:t xml:space="preserve">(ii) </w:t>
      </w:r>
      <w:proofErr w:type="gramStart"/>
      <w:r w:rsidRPr="002D7000">
        <w:rPr>
          <w:rFonts w:ascii="Arial" w:hAnsi="Arial" w:cs="Arial"/>
          <w:sz w:val="20"/>
          <w:szCs w:val="20"/>
        </w:rPr>
        <w:t>are</w:t>
      </w:r>
      <w:proofErr w:type="gramEnd"/>
      <w:r w:rsidRPr="002D7000">
        <w:rPr>
          <w:rFonts w:ascii="Arial" w:hAnsi="Arial" w:cs="Arial"/>
          <w:sz w:val="20"/>
          <w:szCs w:val="20"/>
        </w:rPr>
        <w:t xml:space="preserve"> currently providing FBE for indigent households? The number of municipalities serviced by Eskom and providing FBE is 233. </w:t>
      </w:r>
      <w:r>
        <w:rPr>
          <w:rFonts w:ascii="Arial" w:hAnsi="Arial" w:cs="Arial"/>
          <w:sz w:val="20"/>
          <w:szCs w:val="20"/>
        </w:rPr>
        <w:br/>
      </w:r>
      <w:r>
        <w:rPr>
          <w:rFonts w:ascii="Arial" w:hAnsi="Arial" w:cs="Arial"/>
          <w:sz w:val="20"/>
          <w:szCs w:val="20"/>
        </w:rPr>
        <w:br/>
      </w:r>
      <w:r w:rsidRPr="002D7000">
        <w:rPr>
          <w:rFonts w:ascii="Arial" w:hAnsi="Arial" w:cs="Arial"/>
          <w:sz w:val="20"/>
          <w:szCs w:val="20"/>
        </w:rPr>
        <w:t>(b) The total number of municipalities that are providing such FBE. If not, why not, and if so, what are the relevant details? The total number is 233, and of the 233, 15 municipalities have been de-configured for reasons indicated below</w:t>
      </w:r>
      <w:proofErr w:type="gramStart"/>
      <w:r w:rsidRPr="002D7000">
        <w:rPr>
          <w:rFonts w:ascii="Arial" w:hAnsi="Arial" w:cs="Arial"/>
          <w:sz w:val="20"/>
          <w:szCs w:val="20"/>
        </w:rPr>
        <w:t>:</w:t>
      </w:r>
      <w:proofErr w:type="gramEnd"/>
      <w:r>
        <w:rPr>
          <w:rFonts w:ascii="Arial" w:hAnsi="Arial" w:cs="Arial"/>
          <w:sz w:val="20"/>
          <w:szCs w:val="20"/>
        </w:rPr>
        <w:br/>
      </w:r>
      <w:r>
        <w:rPr>
          <w:rFonts w:ascii="Arial" w:hAnsi="Arial" w:cs="Arial"/>
          <w:sz w:val="20"/>
          <w:szCs w:val="20"/>
        </w:rPr>
        <w:br/>
      </w:r>
      <w:r w:rsidRPr="002D7000">
        <w:rPr>
          <w:rFonts w:ascii="Arial" w:hAnsi="Arial" w:cs="Arial"/>
          <w:b/>
          <w:sz w:val="20"/>
          <w:szCs w:val="20"/>
        </w:rPr>
        <w:t xml:space="preserve">Find here: </w:t>
      </w:r>
      <w:hyperlink r:id="rId4" w:history="1">
        <w:r w:rsidRPr="002D7000">
          <w:rPr>
            <w:rStyle w:val="Hyperlink"/>
            <w:rFonts w:ascii="Arial" w:hAnsi="Arial" w:cs="Arial"/>
            <w:b/>
            <w:sz w:val="20"/>
            <w:szCs w:val="20"/>
          </w:rPr>
          <w:t>Name of municipality</w:t>
        </w:r>
      </w:hyperlink>
      <w:r>
        <w:rPr>
          <w:rFonts w:ascii="Arial" w:hAnsi="Arial" w:cs="Arial"/>
          <w:sz w:val="20"/>
          <w:szCs w:val="20"/>
        </w:rPr>
        <w:t xml:space="preserve"> </w:t>
      </w:r>
    </w:p>
    <w:sectPr w:rsidR="00BD3581" w:rsidRPr="002D7000"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7000"/>
    <w:rsid w:val="002D7000"/>
    <w:rsid w:val="00BD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0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552-2023-01-0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2023-06-07T08:35:00Z</dcterms:created>
  <dcterms:modified xsi:type="dcterms:W3CDTF">2023-06-07T08:45:00Z</dcterms:modified>
</cp:coreProperties>
</file>