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9029EE"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E00DE7">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E00DE7">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A52004">
        <w:rPr>
          <w:b/>
          <w:sz w:val="24"/>
          <w:szCs w:val="24"/>
        </w:rPr>
        <w:t>4</w:t>
      </w:r>
      <w:r w:rsidR="00924EAF">
        <w:rPr>
          <w:b/>
          <w:sz w:val="24"/>
          <w:szCs w:val="24"/>
        </w:rPr>
        <w:t>5</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177C5">
        <w:rPr>
          <w:b/>
          <w:sz w:val="24"/>
          <w:szCs w:val="24"/>
        </w:rPr>
        <w:t>20 JUNE 2019</w:t>
      </w:r>
    </w:p>
    <w:p w:rsidR="00B177C5" w:rsidRDefault="00B177C5" w:rsidP="00B177C5">
      <w:pPr>
        <w:rPr>
          <w:b/>
          <w:sz w:val="24"/>
          <w:szCs w:val="24"/>
        </w:rPr>
      </w:pPr>
    </w:p>
    <w:p w:rsidR="00924EAF" w:rsidRPr="009D28C7" w:rsidRDefault="00924EAF" w:rsidP="00924EAF">
      <w:pPr>
        <w:spacing w:before="100" w:beforeAutospacing="1" w:after="100" w:afterAutospacing="1"/>
        <w:ind w:left="720" w:hanging="720"/>
        <w:jc w:val="both"/>
        <w:outlineLvl w:val="0"/>
        <w:rPr>
          <w:b/>
          <w:noProof/>
          <w:sz w:val="24"/>
          <w:szCs w:val="24"/>
          <w:lang w:val="af-ZA"/>
        </w:rPr>
      </w:pPr>
      <w:r w:rsidRPr="009D28C7">
        <w:rPr>
          <w:b/>
          <w:noProof/>
          <w:sz w:val="24"/>
          <w:szCs w:val="24"/>
          <w:lang w:val="af-ZA"/>
        </w:rPr>
        <w:t>Mrs M R Mohlala (EFF) to ask the Minister of Human Settlements, Water and Sanitation:</w:t>
      </w:r>
    </w:p>
    <w:p w:rsidR="00924EAF" w:rsidRPr="009D28C7" w:rsidRDefault="00924EAF" w:rsidP="0008518E">
      <w:pPr>
        <w:spacing w:before="100" w:beforeAutospacing="1" w:after="100" w:afterAutospacing="1" w:line="336" w:lineRule="auto"/>
        <w:jc w:val="both"/>
        <w:outlineLvl w:val="0"/>
        <w:rPr>
          <w:sz w:val="24"/>
          <w:szCs w:val="24"/>
        </w:rPr>
      </w:pPr>
      <w:r w:rsidRPr="009D28C7">
        <w:rPr>
          <w:sz w:val="24"/>
          <w:szCs w:val="24"/>
        </w:rPr>
        <w:t xml:space="preserve">What is the (a) name of each investment company that has invested in land owned by (i) her </w:t>
      </w:r>
      <w:r w:rsidRPr="006509B9">
        <w:rPr>
          <w:noProof/>
          <w:sz w:val="24"/>
          <w:szCs w:val="24"/>
          <w:lang w:val="af-ZA"/>
        </w:rPr>
        <w:t>department</w:t>
      </w:r>
      <w:r w:rsidRPr="009D28C7">
        <w:rPr>
          <w:sz w:val="24"/>
          <w:szCs w:val="24"/>
        </w:rPr>
        <w:t xml:space="preserve"> and (ii) each entity reporting to her and (b)(i) nature, (ii) </w:t>
      </w:r>
      <w:r>
        <w:rPr>
          <w:sz w:val="24"/>
          <w:szCs w:val="24"/>
        </w:rPr>
        <w:t xml:space="preserve">monetary </w:t>
      </w:r>
      <w:r w:rsidRPr="009D28C7">
        <w:rPr>
          <w:sz w:val="24"/>
          <w:szCs w:val="24"/>
        </w:rPr>
        <w:t>value and (iii) duration of each investment?</w:t>
      </w:r>
      <w:r w:rsidRPr="009D28C7">
        <w:rPr>
          <w:noProof/>
          <w:sz w:val="24"/>
          <w:szCs w:val="24"/>
          <w:lang w:val="af-ZA"/>
        </w:rPr>
        <w:tab/>
      </w:r>
      <w:r w:rsidRPr="009D28C7">
        <w:rPr>
          <w:noProof/>
          <w:sz w:val="24"/>
          <w:szCs w:val="24"/>
          <w:lang w:val="af-ZA"/>
        </w:rPr>
        <w:tab/>
      </w:r>
      <w:r w:rsidRPr="009D28C7">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t xml:space="preserve">         </w:t>
      </w:r>
      <w:r w:rsidRPr="009D28C7">
        <w:t>NW1002E</w:t>
      </w:r>
    </w:p>
    <w:p w:rsidR="005A715D" w:rsidRPr="009640A4" w:rsidRDefault="005A715D" w:rsidP="00EB6AA1">
      <w:pPr>
        <w:spacing w:line="480" w:lineRule="auto"/>
        <w:ind w:left="720" w:hanging="720"/>
        <w:jc w:val="both"/>
        <w:rPr>
          <w:b/>
          <w:sz w:val="24"/>
          <w:szCs w:val="24"/>
        </w:rPr>
      </w:pPr>
    </w:p>
    <w:p w:rsidR="00766CE9" w:rsidRPr="009640A4" w:rsidRDefault="00EB6AA1" w:rsidP="00EB6AA1">
      <w:pPr>
        <w:spacing w:line="480" w:lineRule="auto"/>
        <w:ind w:left="720" w:hanging="720"/>
        <w:jc w:val="both"/>
        <w:rPr>
          <w:b/>
          <w:sz w:val="24"/>
          <w:szCs w:val="24"/>
        </w:rPr>
      </w:pPr>
      <w:r w:rsidRPr="009640A4">
        <w:rPr>
          <w:b/>
          <w:sz w:val="24"/>
          <w:szCs w:val="24"/>
        </w:rPr>
        <w:t>REPLY:</w:t>
      </w:r>
    </w:p>
    <w:p w:rsidR="0026535A" w:rsidRPr="009640A4" w:rsidRDefault="0026535A" w:rsidP="0026535A">
      <w:pPr>
        <w:spacing w:before="100" w:beforeAutospacing="1" w:after="100" w:afterAutospacing="1" w:line="360" w:lineRule="auto"/>
        <w:outlineLvl w:val="0"/>
        <w:rPr>
          <w:b/>
          <w:sz w:val="24"/>
          <w:szCs w:val="24"/>
        </w:rPr>
      </w:pPr>
      <w:r w:rsidRPr="009640A4">
        <w:rPr>
          <w:b/>
          <w:sz w:val="24"/>
          <w:szCs w:val="24"/>
        </w:rPr>
        <w:t>THE DEPARMENT OF HUMAN SETTLEMENTS</w:t>
      </w:r>
    </w:p>
    <w:p w:rsidR="009640A4" w:rsidRPr="009640A4" w:rsidRDefault="00E847CF" w:rsidP="0008518E">
      <w:pPr>
        <w:spacing w:line="336" w:lineRule="auto"/>
        <w:jc w:val="both"/>
        <w:rPr>
          <w:sz w:val="24"/>
          <w:szCs w:val="24"/>
        </w:rPr>
      </w:pPr>
      <w:r w:rsidRPr="009640A4">
        <w:rPr>
          <w:sz w:val="24"/>
          <w:szCs w:val="24"/>
        </w:rPr>
        <w:t xml:space="preserve">The </w:t>
      </w:r>
      <w:r w:rsidR="0026535A" w:rsidRPr="009640A4">
        <w:rPr>
          <w:sz w:val="24"/>
          <w:szCs w:val="24"/>
        </w:rPr>
        <w:t xml:space="preserve">Department </w:t>
      </w:r>
      <w:r w:rsidRPr="009640A4">
        <w:rPr>
          <w:sz w:val="24"/>
          <w:szCs w:val="24"/>
        </w:rPr>
        <w:t xml:space="preserve">of Human Settlements and five of its </w:t>
      </w:r>
      <w:r w:rsidR="009640A4" w:rsidRPr="009640A4">
        <w:rPr>
          <w:sz w:val="24"/>
          <w:szCs w:val="24"/>
        </w:rPr>
        <w:t xml:space="preserve">six </w:t>
      </w:r>
      <w:r w:rsidRPr="009640A4">
        <w:rPr>
          <w:sz w:val="24"/>
          <w:szCs w:val="24"/>
        </w:rPr>
        <w:t>entities namely, Community Schemes Ombud Service</w:t>
      </w:r>
      <w:r w:rsidR="00B47F83">
        <w:rPr>
          <w:sz w:val="24"/>
          <w:szCs w:val="24"/>
        </w:rPr>
        <w:t xml:space="preserve"> </w:t>
      </w:r>
      <w:r w:rsidR="009640A4">
        <w:rPr>
          <w:sz w:val="24"/>
          <w:szCs w:val="24"/>
        </w:rPr>
        <w:t>(CSOS)</w:t>
      </w:r>
      <w:r w:rsidRPr="009640A4">
        <w:rPr>
          <w:sz w:val="24"/>
          <w:szCs w:val="24"/>
        </w:rPr>
        <w:t>, Estate Agency Affairs Board</w:t>
      </w:r>
      <w:r w:rsidR="009640A4">
        <w:rPr>
          <w:sz w:val="24"/>
          <w:szCs w:val="24"/>
        </w:rPr>
        <w:t xml:space="preserve"> (EAAB)</w:t>
      </w:r>
      <w:r w:rsidRPr="009640A4">
        <w:rPr>
          <w:sz w:val="24"/>
          <w:szCs w:val="24"/>
        </w:rPr>
        <w:t>, National Home Builders Registration Council</w:t>
      </w:r>
      <w:r w:rsidR="009640A4">
        <w:rPr>
          <w:sz w:val="24"/>
          <w:szCs w:val="24"/>
        </w:rPr>
        <w:t xml:space="preserve"> (NHBRC)</w:t>
      </w:r>
      <w:r w:rsidRPr="009640A4">
        <w:rPr>
          <w:sz w:val="24"/>
          <w:szCs w:val="24"/>
        </w:rPr>
        <w:t>, Social Housing Regulatory Authority</w:t>
      </w:r>
      <w:r w:rsidR="009640A4">
        <w:rPr>
          <w:sz w:val="24"/>
          <w:szCs w:val="24"/>
        </w:rPr>
        <w:t xml:space="preserve"> (SHRA)</w:t>
      </w:r>
      <w:r w:rsidRPr="009640A4">
        <w:rPr>
          <w:sz w:val="24"/>
          <w:szCs w:val="24"/>
        </w:rPr>
        <w:t>, Housing and Development Agency</w:t>
      </w:r>
      <w:r w:rsidR="009640A4">
        <w:rPr>
          <w:sz w:val="24"/>
          <w:szCs w:val="24"/>
        </w:rPr>
        <w:t xml:space="preserve"> (HDA)</w:t>
      </w:r>
      <w:r w:rsidRPr="009640A4">
        <w:rPr>
          <w:sz w:val="24"/>
          <w:szCs w:val="24"/>
        </w:rPr>
        <w:t xml:space="preserve"> have advise</w:t>
      </w:r>
      <w:r w:rsidR="00B47F83">
        <w:rPr>
          <w:sz w:val="24"/>
          <w:szCs w:val="24"/>
        </w:rPr>
        <w:t>d</w:t>
      </w:r>
      <w:r w:rsidRPr="009640A4">
        <w:rPr>
          <w:sz w:val="24"/>
          <w:szCs w:val="24"/>
        </w:rPr>
        <w:t xml:space="preserve"> me that they do not own land</w:t>
      </w:r>
      <w:r w:rsidR="001755E4">
        <w:rPr>
          <w:sz w:val="24"/>
          <w:szCs w:val="24"/>
        </w:rPr>
        <w:t xml:space="preserve"> and therefore the question is not applicable to these</w:t>
      </w:r>
      <w:r w:rsidRPr="009640A4">
        <w:rPr>
          <w:sz w:val="24"/>
          <w:szCs w:val="24"/>
        </w:rPr>
        <w:t xml:space="preserve">. </w:t>
      </w:r>
      <w:r w:rsidR="009640A4" w:rsidRPr="009640A4">
        <w:rPr>
          <w:sz w:val="24"/>
          <w:szCs w:val="24"/>
        </w:rPr>
        <w:t>However, t</w:t>
      </w:r>
      <w:r w:rsidRPr="009640A4">
        <w:rPr>
          <w:sz w:val="24"/>
          <w:szCs w:val="24"/>
        </w:rPr>
        <w:t>he N</w:t>
      </w:r>
      <w:r w:rsidR="0026535A" w:rsidRPr="009640A4">
        <w:rPr>
          <w:sz w:val="24"/>
          <w:szCs w:val="24"/>
        </w:rPr>
        <w:t>ational Housing Finance Corporation (NHFC)</w:t>
      </w:r>
      <w:r w:rsidRPr="009640A4">
        <w:rPr>
          <w:sz w:val="24"/>
          <w:szCs w:val="24"/>
        </w:rPr>
        <w:t xml:space="preserve"> has indicated that it owns </w:t>
      </w:r>
      <w:r w:rsidR="00B47F83">
        <w:rPr>
          <w:sz w:val="24"/>
          <w:szCs w:val="24"/>
        </w:rPr>
        <w:t xml:space="preserve">various </w:t>
      </w:r>
      <w:r w:rsidRPr="009640A4">
        <w:rPr>
          <w:sz w:val="24"/>
          <w:szCs w:val="24"/>
        </w:rPr>
        <w:t>propert</w:t>
      </w:r>
      <w:r w:rsidR="009640A4" w:rsidRPr="009640A4">
        <w:rPr>
          <w:sz w:val="24"/>
          <w:szCs w:val="24"/>
        </w:rPr>
        <w:t xml:space="preserve">ies </w:t>
      </w:r>
      <w:r w:rsidR="0008518E">
        <w:rPr>
          <w:sz w:val="24"/>
          <w:szCs w:val="24"/>
        </w:rPr>
        <w:t>and further details are provided below</w:t>
      </w:r>
      <w:r w:rsidR="009640A4" w:rsidRPr="009640A4">
        <w:rPr>
          <w:sz w:val="24"/>
          <w:szCs w:val="24"/>
        </w:rPr>
        <w:t>:</w:t>
      </w:r>
    </w:p>
    <w:p w:rsidR="009640A4" w:rsidRDefault="009640A4" w:rsidP="009640A4">
      <w:pPr>
        <w:rPr>
          <w:sz w:val="24"/>
          <w:szCs w:val="24"/>
        </w:rPr>
      </w:pPr>
    </w:p>
    <w:p w:rsidR="0026535A" w:rsidRPr="00E847CF" w:rsidRDefault="009640A4" w:rsidP="009640A4">
      <w:pPr>
        <w:numPr>
          <w:ilvl w:val="0"/>
          <w:numId w:val="3"/>
        </w:numPr>
        <w:rPr>
          <w:sz w:val="24"/>
          <w:szCs w:val="24"/>
        </w:rPr>
      </w:pPr>
      <w:r>
        <w:rPr>
          <w:sz w:val="24"/>
          <w:szCs w:val="24"/>
        </w:rPr>
        <w:t xml:space="preserve">The </w:t>
      </w:r>
      <w:r w:rsidR="00E847CF" w:rsidRPr="00E847CF">
        <w:rPr>
          <w:sz w:val="24"/>
          <w:szCs w:val="24"/>
        </w:rPr>
        <w:t>President Place which is situated at 78 President Street (Corner of Odendaal Street) in Germiston and that,</w:t>
      </w:r>
    </w:p>
    <w:p w:rsidR="00E847CF" w:rsidRPr="00E847CF" w:rsidRDefault="00E847CF" w:rsidP="009640A4">
      <w:pPr>
        <w:rPr>
          <w:sz w:val="24"/>
          <w:szCs w:val="24"/>
        </w:rPr>
      </w:pPr>
    </w:p>
    <w:p w:rsidR="0026535A" w:rsidRPr="00E847CF" w:rsidRDefault="0026535A" w:rsidP="009640A4">
      <w:pPr>
        <w:numPr>
          <w:ilvl w:val="0"/>
          <w:numId w:val="4"/>
        </w:numPr>
        <w:tabs>
          <w:tab w:val="left" w:pos="90"/>
          <w:tab w:val="left" w:pos="709"/>
        </w:tabs>
        <w:spacing w:before="100" w:beforeAutospacing="1" w:after="100" w:afterAutospacing="1"/>
        <w:outlineLvl w:val="0"/>
        <w:rPr>
          <w:color w:val="FF0000"/>
          <w:sz w:val="24"/>
          <w:szCs w:val="24"/>
        </w:rPr>
      </w:pPr>
      <w:r w:rsidRPr="00E847CF">
        <w:rPr>
          <w:sz w:val="24"/>
          <w:szCs w:val="24"/>
        </w:rPr>
        <w:lastRenderedPageBreak/>
        <w:t xml:space="preserve">The property is a mixed use building, residential and commercial space, comprising of 320 rental </w:t>
      </w:r>
      <w:r w:rsidR="009640A4" w:rsidRPr="00E847CF">
        <w:rPr>
          <w:sz w:val="24"/>
          <w:szCs w:val="24"/>
        </w:rPr>
        <w:t>apartments</w:t>
      </w:r>
      <w:r w:rsidRPr="00E847CF">
        <w:rPr>
          <w:sz w:val="24"/>
          <w:szCs w:val="24"/>
        </w:rPr>
        <w:t xml:space="preserve"> of 1, 2 and 3 bedrooms and 22 shops.</w:t>
      </w:r>
    </w:p>
    <w:p w:rsidR="0026535A" w:rsidRPr="00E847CF" w:rsidRDefault="0026535A" w:rsidP="009640A4">
      <w:pPr>
        <w:numPr>
          <w:ilvl w:val="0"/>
          <w:numId w:val="4"/>
        </w:numPr>
        <w:tabs>
          <w:tab w:val="left" w:pos="90"/>
        </w:tabs>
        <w:spacing w:before="100" w:beforeAutospacing="1" w:after="100" w:afterAutospacing="1"/>
        <w:outlineLvl w:val="0"/>
        <w:rPr>
          <w:sz w:val="24"/>
          <w:szCs w:val="24"/>
        </w:rPr>
      </w:pPr>
      <w:r w:rsidRPr="00E847CF">
        <w:rPr>
          <w:sz w:val="24"/>
          <w:szCs w:val="24"/>
        </w:rPr>
        <w:t xml:space="preserve">Investment property in Germiston is worth R102 222 000. </w:t>
      </w:r>
    </w:p>
    <w:p w:rsidR="0026535A" w:rsidRPr="00E847CF" w:rsidRDefault="0026535A" w:rsidP="009640A4">
      <w:pPr>
        <w:numPr>
          <w:ilvl w:val="0"/>
          <w:numId w:val="4"/>
        </w:numPr>
        <w:spacing w:before="100" w:beforeAutospacing="1" w:after="100" w:afterAutospacing="1"/>
        <w:outlineLvl w:val="0"/>
        <w:rPr>
          <w:sz w:val="24"/>
          <w:szCs w:val="24"/>
        </w:rPr>
      </w:pPr>
      <w:r w:rsidRPr="00E847CF">
        <w:rPr>
          <w:sz w:val="24"/>
          <w:szCs w:val="24"/>
        </w:rPr>
        <w:t xml:space="preserve">The duration of the investment is 10 years. </w:t>
      </w:r>
    </w:p>
    <w:p w:rsidR="0026535A" w:rsidRPr="009640A4" w:rsidRDefault="0026535A" w:rsidP="0026535A">
      <w:pPr>
        <w:spacing w:before="100" w:beforeAutospacing="1" w:after="100" w:afterAutospacing="1" w:line="360" w:lineRule="auto"/>
        <w:ind w:hanging="619"/>
        <w:outlineLvl w:val="0"/>
        <w:rPr>
          <w:b/>
          <w:sz w:val="24"/>
          <w:szCs w:val="24"/>
        </w:rPr>
      </w:pPr>
    </w:p>
    <w:p w:rsidR="0026535A" w:rsidRPr="009640A4" w:rsidRDefault="009640A4" w:rsidP="0008518E">
      <w:pPr>
        <w:spacing w:before="100" w:beforeAutospacing="1" w:after="100" w:afterAutospacing="1" w:line="336" w:lineRule="auto"/>
        <w:ind w:firstLine="284"/>
        <w:outlineLvl w:val="0"/>
        <w:rPr>
          <w:sz w:val="24"/>
          <w:szCs w:val="24"/>
        </w:rPr>
      </w:pPr>
      <w:r w:rsidRPr="009640A4">
        <w:rPr>
          <w:sz w:val="24"/>
          <w:szCs w:val="24"/>
        </w:rPr>
        <w:t>B.</w:t>
      </w:r>
      <w:r w:rsidRPr="009640A4">
        <w:rPr>
          <w:sz w:val="24"/>
          <w:szCs w:val="24"/>
        </w:rPr>
        <w:tab/>
        <w:t>I</w:t>
      </w:r>
      <w:r w:rsidR="0026535A" w:rsidRPr="009640A4">
        <w:rPr>
          <w:sz w:val="24"/>
          <w:szCs w:val="24"/>
        </w:rPr>
        <w:t>nvestments in Cape Town and Upington</w:t>
      </w:r>
    </w:p>
    <w:p w:rsidR="0026535A" w:rsidRPr="009640A4" w:rsidRDefault="0026535A" w:rsidP="0008518E">
      <w:pPr>
        <w:spacing w:before="100" w:beforeAutospacing="1" w:after="100" w:afterAutospacing="1" w:line="336" w:lineRule="auto"/>
        <w:ind w:left="1440"/>
        <w:jc w:val="both"/>
        <w:outlineLvl w:val="0"/>
        <w:rPr>
          <w:sz w:val="24"/>
          <w:szCs w:val="24"/>
        </w:rPr>
      </w:pPr>
      <w:r w:rsidRPr="009640A4">
        <w:rPr>
          <w:sz w:val="24"/>
          <w:szCs w:val="24"/>
        </w:rPr>
        <w:t>(a) (ii) The Cape Town Community Housing Company Pty Ltd (CTCHC), a company      owned 100% by the NHFC.</w:t>
      </w:r>
    </w:p>
    <w:p w:rsidR="0026535A" w:rsidRPr="009640A4" w:rsidRDefault="0026535A" w:rsidP="0008518E">
      <w:pPr>
        <w:spacing w:before="100" w:beforeAutospacing="1" w:after="100" w:afterAutospacing="1" w:line="336" w:lineRule="auto"/>
        <w:ind w:left="1440"/>
        <w:jc w:val="both"/>
        <w:outlineLvl w:val="0"/>
        <w:rPr>
          <w:sz w:val="24"/>
          <w:szCs w:val="24"/>
        </w:rPr>
      </w:pPr>
      <w:r w:rsidRPr="009640A4">
        <w:rPr>
          <w:sz w:val="24"/>
          <w:szCs w:val="24"/>
        </w:rPr>
        <w:t>(b) (i) CTCHC owns 1006 repossessed institutional subsidy houses, which are still occupied by the original beneficiaries. These houses are located in and around the Khayelitsha and Mitchell’s Plain area, Cape Town. The CTCHC also owns 94 gap-market houses in Upington which are available for sale to qualifying beneficiaries.</w:t>
      </w:r>
    </w:p>
    <w:p w:rsidR="0026535A" w:rsidRPr="009640A4" w:rsidRDefault="0026535A" w:rsidP="0008518E">
      <w:pPr>
        <w:spacing w:before="100" w:beforeAutospacing="1" w:after="100" w:afterAutospacing="1" w:line="336" w:lineRule="auto"/>
        <w:ind w:left="1440"/>
        <w:jc w:val="both"/>
        <w:outlineLvl w:val="0"/>
        <w:rPr>
          <w:sz w:val="24"/>
          <w:szCs w:val="24"/>
        </w:rPr>
      </w:pPr>
      <w:r w:rsidRPr="009640A4">
        <w:rPr>
          <w:sz w:val="24"/>
          <w:szCs w:val="24"/>
        </w:rPr>
        <w:t>(ii) The houses in Khayelitsha and Mitchell’s have an approximate value of R 85 million and the ones in Upington are estimated to be worth R 4.6 million.</w:t>
      </w:r>
    </w:p>
    <w:p w:rsidR="0026535A" w:rsidRDefault="0026535A" w:rsidP="0008518E">
      <w:pPr>
        <w:spacing w:before="100" w:beforeAutospacing="1" w:after="100" w:afterAutospacing="1" w:line="336" w:lineRule="auto"/>
        <w:ind w:hanging="619"/>
        <w:outlineLvl w:val="0"/>
        <w:rPr>
          <w:sz w:val="24"/>
          <w:szCs w:val="24"/>
        </w:rPr>
      </w:pPr>
      <w:r w:rsidRPr="009640A4">
        <w:rPr>
          <w:sz w:val="24"/>
          <w:szCs w:val="24"/>
        </w:rPr>
        <w:tab/>
      </w:r>
      <w:r w:rsidR="009640A4">
        <w:rPr>
          <w:sz w:val="24"/>
          <w:szCs w:val="24"/>
        </w:rPr>
        <w:tab/>
      </w:r>
      <w:r w:rsidR="009640A4">
        <w:rPr>
          <w:sz w:val="24"/>
          <w:szCs w:val="24"/>
        </w:rPr>
        <w:tab/>
      </w:r>
      <w:r w:rsidRPr="009640A4">
        <w:rPr>
          <w:sz w:val="24"/>
          <w:szCs w:val="24"/>
        </w:rPr>
        <w:t>(iii) The houses are currently let on short-term rentals.</w:t>
      </w:r>
    </w:p>
    <w:p w:rsidR="00085C6E" w:rsidRDefault="009640A4" w:rsidP="00085C6E">
      <w:pPr>
        <w:spacing w:before="100" w:beforeAutospacing="1" w:after="100" w:afterAutospacing="1" w:line="360" w:lineRule="auto"/>
        <w:ind w:hanging="619"/>
        <w:outlineLvl w:val="0"/>
        <w:rPr>
          <w:sz w:val="24"/>
          <w:szCs w:val="24"/>
        </w:rPr>
      </w:pPr>
      <w:r>
        <w:rPr>
          <w:sz w:val="24"/>
          <w:szCs w:val="24"/>
        </w:rPr>
        <w:tab/>
      </w:r>
      <w:r w:rsidR="001755E4">
        <w:rPr>
          <w:sz w:val="24"/>
          <w:szCs w:val="24"/>
        </w:rPr>
        <w:t xml:space="preserve"> </w:t>
      </w:r>
    </w:p>
    <w:p w:rsidR="009640A4" w:rsidRPr="00C43182" w:rsidRDefault="009640A4" w:rsidP="00085C6E">
      <w:pPr>
        <w:spacing w:before="100" w:beforeAutospacing="1" w:after="100" w:afterAutospacing="1" w:line="360" w:lineRule="auto"/>
        <w:outlineLvl w:val="0"/>
        <w:rPr>
          <w:b/>
          <w:sz w:val="24"/>
          <w:szCs w:val="24"/>
        </w:rPr>
      </w:pPr>
      <w:r w:rsidRPr="00C43182">
        <w:rPr>
          <w:b/>
          <w:sz w:val="24"/>
          <w:szCs w:val="24"/>
        </w:rPr>
        <w:t>THE DEPARTMENT OF WATER AND SANITATION:</w:t>
      </w:r>
    </w:p>
    <w:p w:rsidR="00C43182" w:rsidRPr="00C43182" w:rsidRDefault="00C43182" w:rsidP="0008518E">
      <w:pPr>
        <w:numPr>
          <w:ilvl w:val="0"/>
          <w:numId w:val="5"/>
        </w:numPr>
        <w:ind w:left="1418" w:hanging="1418"/>
        <w:jc w:val="both"/>
        <w:rPr>
          <w:sz w:val="24"/>
          <w:szCs w:val="24"/>
        </w:rPr>
      </w:pPr>
      <w:r w:rsidRPr="00C43182">
        <w:rPr>
          <w:sz w:val="24"/>
          <w:szCs w:val="24"/>
        </w:rPr>
        <w:t xml:space="preserve">(i) </w:t>
      </w:r>
      <w:r w:rsidRPr="00C43182">
        <w:rPr>
          <w:sz w:val="24"/>
          <w:szCs w:val="24"/>
        </w:rPr>
        <w:tab/>
      </w:r>
      <w:r w:rsidR="0008518E">
        <w:rPr>
          <w:sz w:val="24"/>
          <w:szCs w:val="24"/>
        </w:rPr>
        <w:t>As much as the department owns land, n</w:t>
      </w:r>
      <w:r w:rsidRPr="00C43182">
        <w:rPr>
          <w:sz w:val="24"/>
          <w:szCs w:val="24"/>
        </w:rPr>
        <w:t xml:space="preserve">o investment company has invested on </w:t>
      </w:r>
      <w:r w:rsidR="0008518E">
        <w:rPr>
          <w:sz w:val="24"/>
          <w:szCs w:val="24"/>
        </w:rPr>
        <w:t xml:space="preserve">the </w:t>
      </w:r>
      <w:r w:rsidRPr="00C43182">
        <w:rPr>
          <w:sz w:val="24"/>
          <w:szCs w:val="24"/>
        </w:rPr>
        <w:t xml:space="preserve">land </w:t>
      </w:r>
      <w:r w:rsidR="0008518E">
        <w:rPr>
          <w:sz w:val="24"/>
          <w:szCs w:val="24"/>
        </w:rPr>
        <w:t xml:space="preserve">it owns. </w:t>
      </w:r>
    </w:p>
    <w:p w:rsidR="00C43182" w:rsidRPr="00C43182" w:rsidRDefault="00C43182" w:rsidP="00C43182">
      <w:pPr>
        <w:widowControl w:val="0"/>
        <w:spacing w:before="8" w:line="260" w:lineRule="exact"/>
        <w:rPr>
          <w:rFonts w:eastAsia="Calibri"/>
          <w:sz w:val="24"/>
          <w:szCs w:val="24"/>
        </w:rPr>
      </w:pPr>
    </w:p>
    <w:p w:rsidR="00C43182" w:rsidRDefault="00C43182" w:rsidP="0008518E">
      <w:pPr>
        <w:pStyle w:val="ColorfulList-Accent1"/>
        <w:widowControl w:val="0"/>
        <w:ind w:left="0" w:right="1989" w:firstLine="720"/>
        <w:jc w:val="both"/>
        <w:rPr>
          <w:rFonts w:eastAsia="Arial"/>
          <w:sz w:val="22"/>
          <w:szCs w:val="22"/>
        </w:rPr>
      </w:pPr>
      <w:r w:rsidRPr="00C43182">
        <w:rPr>
          <w:rFonts w:eastAsia="Arial"/>
          <w:sz w:val="22"/>
          <w:szCs w:val="22"/>
        </w:rPr>
        <w:t>(ii)</w:t>
      </w:r>
      <w:r w:rsidRPr="00C43182">
        <w:rPr>
          <w:rFonts w:eastAsia="Arial"/>
          <w:sz w:val="22"/>
          <w:szCs w:val="22"/>
        </w:rPr>
        <w:tab/>
        <w:t>Refer</w:t>
      </w:r>
      <w:r w:rsidRPr="00C43182">
        <w:rPr>
          <w:rFonts w:eastAsia="Arial"/>
          <w:spacing w:val="-14"/>
          <w:sz w:val="22"/>
          <w:szCs w:val="22"/>
        </w:rPr>
        <w:t xml:space="preserve"> </w:t>
      </w:r>
      <w:r w:rsidRPr="00C43182">
        <w:rPr>
          <w:rFonts w:eastAsia="Arial"/>
          <w:sz w:val="22"/>
          <w:szCs w:val="22"/>
        </w:rPr>
        <w:t>to</w:t>
      </w:r>
      <w:r w:rsidRPr="00C43182">
        <w:rPr>
          <w:rFonts w:eastAsia="Arial"/>
          <w:spacing w:val="-6"/>
          <w:sz w:val="22"/>
          <w:szCs w:val="22"/>
        </w:rPr>
        <w:t xml:space="preserve"> </w:t>
      </w:r>
      <w:r w:rsidRPr="00C43182">
        <w:rPr>
          <w:rFonts w:eastAsia="Arial"/>
          <w:sz w:val="22"/>
          <w:szCs w:val="22"/>
        </w:rPr>
        <w:t>the</w:t>
      </w:r>
      <w:r w:rsidRPr="00C43182">
        <w:rPr>
          <w:rFonts w:eastAsia="Arial"/>
          <w:spacing w:val="-10"/>
          <w:sz w:val="22"/>
          <w:szCs w:val="22"/>
        </w:rPr>
        <w:t xml:space="preserve"> </w:t>
      </w:r>
      <w:r w:rsidRPr="00C43182">
        <w:rPr>
          <w:rFonts w:eastAsia="Arial"/>
          <w:sz w:val="22"/>
          <w:szCs w:val="22"/>
        </w:rPr>
        <w:t>table</w:t>
      </w:r>
      <w:r w:rsidRPr="00C43182">
        <w:rPr>
          <w:rFonts w:eastAsia="Arial"/>
          <w:spacing w:val="10"/>
          <w:sz w:val="22"/>
          <w:szCs w:val="22"/>
        </w:rPr>
        <w:t xml:space="preserve"> </w:t>
      </w:r>
      <w:r w:rsidRPr="00C43182">
        <w:rPr>
          <w:rFonts w:eastAsia="Arial"/>
          <w:sz w:val="22"/>
          <w:szCs w:val="22"/>
        </w:rPr>
        <w:t>below</w:t>
      </w:r>
      <w:r w:rsidRPr="00C43182">
        <w:rPr>
          <w:rFonts w:eastAsia="Arial"/>
          <w:spacing w:val="-15"/>
          <w:sz w:val="22"/>
          <w:szCs w:val="22"/>
        </w:rPr>
        <w:t xml:space="preserve"> </w:t>
      </w:r>
      <w:r w:rsidRPr="00C43182">
        <w:rPr>
          <w:rFonts w:eastAsia="Arial"/>
          <w:sz w:val="22"/>
          <w:szCs w:val="22"/>
        </w:rPr>
        <w:t>for</w:t>
      </w:r>
      <w:r w:rsidRPr="00C43182">
        <w:rPr>
          <w:rFonts w:eastAsia="Arial"/>
          <w:spacing w:val="7"/>
          <w:sz w:val="22"/>
          <w:szCs w:val="22"/>
        </w:rPr>
        <w:t xml:space="preserve"> </w:t>
      </w:r>
      <w:r w:rsidRPr="00C43182">
        <w:rPr>
          <w:rFonts w:eastAsia="Arial"/>
          <w:sz w:val="22"/>
          <w:szCs w:val="22"/>
        </w:rPr>
        <w:t>responses</w:t>
      </w:r>
      <w:r w:rsidRPr="00C43182">
        <w:rPr>
          <w:rFonts w:eastAsia="Arial"/>
          <w:spacing w:val="-11"/>
          <w:sz w:val="22"/>
          <w:szCs w:val="22"/>
        </w:rPr>
        <w:t xml:space="preserve"> </w:t>
      </w:r>
      <w:r w:rsidRPr="00C43182">
        <w:rPr>
          <w:rFonts w:eastAsia="Arial"/>
          <w:sz w:val="22"/>
          <w:szCs w:val="22"/>
        </w:rPr>
        <w:t>from</w:t>
      </w:r>
      <w:r w:rsidRPr="00C43182">
        <w:rPr>
          <w:rFonts w:eastAsia="Arial"/>
          <w:spacing w:val="-4"/>
          <w:sz w:val="22"/>
          <w:szCs w:val="22"/>
        </w:rPr>
        <w:t xml:space="preserve"> </w:t>
      </w:r>
      <w:r w:rsidRPr="00C43182">
        <w:rPr>
          <w:rFonts w:eastAsia="Arial"/>
          <w:sz w:val="22"/>
          <w:szCs w:val="22"/>
        </w:rPr>
        <w:t>entities.</w:t>
      </w:r>
    </w:p>
    <w:p w:rsidR="00B47F83" w:rsidRPr="00C43182" w:rsidRDefault="00B47F83" w:rsidP="0008518E">
      <w:pPr>
        <w:pStyle w:val="ColorfulList-Accent1"/>
        <w:widowControl w:val="0"/>
        <w:ind w:left="0" w:right="1989" w:firstLine="720"/>
        <w:jc w:val="both"/>
        <w:rPr>
          <w:rFonts w:eastAsia="Arial"/>
          <w:sz w:val="22"/>
          <w:szCs w:val="22"/>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1"/>
        <w:gridCol w:w="2694"/>
        <w:gridCol w:w="2976"/>
        <w:gridCol w:w="2980"/>
      </w:tblGrid>
      <w:tr w:rsidR="00C43182" w:rsidRPr="00C43182" w:rsidTr="00EC3E8E">
        <w:trPr>
          <w:trHeight w:hRule="exact" w:val="476"/>
          <w:tblHeader/>
        </w:trPr>
        <w:tc>
          <w:tcPr>
            <w:tcW w:w="1701" w:type="dxa"/>
            <w:shd w:val="clear" w:color="auto" w:fill="E7E6E6"/>
          </w:tcPr>
          <w:p w:rsidR="00C43182" w:rsidRPr="00C43182" w:rsidRDefault="00C43182" w:rsidP="00EC3E8E">
            <w:pPr>
              <w:widowControl w:val="0"/>
              <w:ind w:left="152"/>
              <w:contextualSpacing/>
              <w:rPr>
                <w:rFonts w:eastAsia="Arial"/>
                <w:sz w:val="22"/>
                <w:szCs w:val="22"/>
              </w:rPr>
            </w:pPr>
            <w:r w:rsidRPr="00C43182">
              <w:rPr>
                <w:rFonts w:eastAsia="Arial"/>
                <w:b/>
                <w:bCs/>
                <w:w w:val="105"/>
                <w:sz w:val="22"/>
                <w:szCs w:val="22"/>
              </w:rPr>
              <w:t>(a)(ii) Entity</w:t>
            </w:r>
          </w:p>
        </w:tc>
        <w:tc>
          <w:tcPr>
            <w:tcW w:w="2694" w:type="dxa"/>
            <w:shd w:val="clear" w:color="auto" w:fill="E7E6E6"/>
          </w:tcPr>
          <w:p w:rsidR="00C43182" w:rsidRPr="00C43182" w:rsidRDefault="00C43182" w:rsidP="00EC3E8E">
            <w:pPr>
              <w:widowControl w:val="0"/>
              <w:ind w:left="152"/>
              <w:contextualSpacing/>
              <w:rPr>
                <w:rFonts w:eastAsia="Arial"/>
                <w:sz w:val="22"/>
                <w:szCs w:val="22"/>
              </w:rPr>
            </w:pPr>
            <w:r w:rsidRPr="00C43182">
              <w:rPr>
                <w:rFonts w:eastAsia="Arial"/>
                <w:b/>
                <w:bCs/>
                <w:w w:val="105"/>
                <w:sz w:val="22"/>
                <w:szCs w:val="22"/>
              </w:rPr>
              <w:t>(b)(i) Nature</w:t>
            </w:r>
          </w:p>
        </w:tc>
        <w:tc>
          <w:tcPr>
            <w:tcW w:w="2976" w:type="dxa"/>
            <w:shd w:val="clear" w:color="auto" w:fill="E7E6E6"/>
          </w:tcPr>
          <w:p w:rsidR="00C43182" w:rsidRPr="00C43182" w:rsidRDefault="00C43182" w:rsidP="00EC3E8E">
            <w:pPr>
              <w:widowControl w:val="0"/>
              <w:ind w:left="153"/>
              <w:contextualSpacing/>
              <w:rPr>
                <w:rFonts w:eastAsia="Arial"/>
                <w:sz w:val="22"/>
                <w:szCs w:val="22"/>
              </w:rPr>
            </w:pPr>
            <w:r w:rsidRPr="00C43182">
              <w:rPr>
                <w:rFonts w:eastAsia="Arial"/>
                <w:b/>
                <w:bCs/>
                <w:w w:val="105"/>
                <w:sz w:val="22"/>
                <w:szCs w:val="22"/>
              </w:rPr>
              <w:t>(b)(ii) Value</w:t>
            </w:r>
          </w:p>
        </w:tc>
        <w:tc>
          <w:tcPr>
            <w:tcW w:w="2980" w:type="dxa"/>
            <w:shd w:val="clear" w:color="auto" w:fill="E7E6E6"/>
          </w:tcPr>
          <w:p w:rsidR="00C43182" w:rsidRPr="00C43182" w:rsidRDefault="00C43182" w:rsidP="00EC3E8E">
            <w:pPr>
              <w:widowControl w:val="0"/>
              <w:ind w:left="153"/>
              <w:contextualSpacing/>
              <w:rPr>
                <w:rFonts w:eastAsia="Arial"/>
                <w:b/>
                <w:bCs/>
                <w:w w:val="105"/>
                <w:sz w:val="22"/>
                <w:szCs w:val="22"/>
              </w:rPr>
            </w:pPr>
            <w:r w:rsidRPr="00C43182">
              <w:rPr>
                <w:rFonts w:eastAsia="Arial"/>
                <w:b/>
                <w:bCs/>
                <w:w w:val="105"/>
                <w:sz w:val="22"/>
                <w:szCs w:val="22"/>
              </w:rPr>
              <w:t>(b)(iii) Length of each investment</w:t>
            </w:r>
          </w:p>
          <w:p w:rsidR="00C43182" w:rsidRPr="00C43182" w:rsidRDefault="00C43182" w:rsidP="00EC3E8E">
            <w:pPr>
              <w:widowControl w:val="0"/>
              <w:ind w:left="153"/>
              <w:contextualSpacing/>
              <w:rPr>
                <w:rFonts w:eastAsia="Arial"/>
                <w:b/>
                <w:bCs/>
                <w:w w:val="105"/>
                <w:sz w:val="22"/>
                <w:szCs w:val="22"/>
              </w:rPr>
            </w:pPr>
          </w:p>
          <w:p w:rsidR="00C43182" w:rsidRPr="00C43182" w:rsidRDefault="00C43182" w:rsidP="00EC3E8E">
            <w:pPr>
              <w:widowControl w:val="0"/>
              <w:ind w:left="153"/>
              <w:contextualSpacing/>
              <w:rPr>
                <w:rFonts w:eastAsia="Arial"/>
                <w:sz w:val="22"/>
                <w:szCs w:val="22"/>
              </w:rPr>
            </w:pPr>
          </w:p>
        </w:tc>
      </w:tr>
      <w:tr w:rsidR="00C43182" w:rsidRPr="00C43182" w:rsidTr="00085C6E">
        <w:trPr>
          <w:trHeight w:hRule="exact" w:val="258"/>
        </w:trPr>
        <w:tc>
          <w:tcPr>
            <w:tcW w:w="1701" w:type="dxa"/>
          </w:tcPr>
          <w:p w:rsidR="00C43182" w:rsidRPr="00C43182" w:rsidRDefault="00C43182" w:rsidP="00EC3E8E">
            <w:pPr>
              <w:widowControl w:val="0"/>
              <w:ind w:left="94"/>
              <w:contextualSpacing/>
              <w:rPr>
                <w:rFonts w:eastAsia="Arial"/>
                <w:sz w:val="22"/>
                <w:szCs w:val="22"/>
              </w:rPr>
            </w:pPr>
            <w:r w:rsidRPr="00C43182">
              <w:rPr>
                <w:rFonts w:eastAsia="Arial"/>
                <w:sz w:val="22"/>
                <w:szCs w:val="22"/>
              </w:rPr>
              <w:t>Amatola Water</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Pr>
          <w:p w:rsidR="00C43182" w:rsidRPr="00C43182" w:rsidRDefault="00C43182" w:rsidP="00EC3E8E">
            <w:pPr>
              <w:widowControl w:val="0"/>
              <w:ind w:left="139" w:hanging="36"/>
              <w:contextualSpacing/>
              <w:rPr>
                <w:rFonts w:eastAsia="Arial"/>
                <w:sz w:val="22"/>
                <w:szCs w:val="22"/>
              </w:rPr>
            </w:pPr>
            <w:r w:rsidRPr="00C43182">
              <w:rPr>
                <w:rFonts w:eastAsia="Arial"/>
                <w:sz w:val="22"/>
                <w:szCs w:val="22"/>
              </w:rPr>
              <w:t>None</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Bloem Water</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Lepelle Northern Water</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Magalies Water</w:t>
            </w:r>
          </w:p>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Mhlathuze</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Mhlathuze Water</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Rand Water</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Sedibeng Water</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WRC</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TCTA</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BGCMA</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 xml:space="preserve">None </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258"/>
        </w:trPr>
        <w:tc>
          <w:tcPr>
            <w:tcW w:w="1701"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IUCMA</w:t>
            </w:r>
          </w:p>
        </w:tc>
        <w:tc>
          <w:tcPr>
            <w:tcW w:w="2694"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5"/>
              <w:contextualSpacing/>
              <w:rPr>
                <w:rFonts w:eastAsia="Arial"/>
                <w:sz w:val="22"/>
                <w:szCs w:val="22"/>
              </w:rPr>
            </w:pPr>
            <w:r w:rsidRPr="00C43182">
              <w:rPr>
                <w:rFonts w:eastAsia="Arial"/>
                <w:sz w:val="22"/>
                <w:szCs w:val="22"/>
              </w:rPr>
              <w:t>None</w:t>
            </w:r>
          </w:p>
        </w:tc>
        <w:tc>
          <w:tcPr>
            <w:tcW w:w="2976"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c>
          <w:tcPr>
            <w:tcW w:w="2980" w:type="dxa"/>
            <w:tcBorders>
              <w:top w:val="single" w:sz="4" w:space="0" w:color="auto"/>
              <w:left w:val="single" w:sz="4" w:space="0" w:color="auto"/>
              <w:bottom w:val="single" w:sz="4" w:space="0" w:color="auto"/>
              <w:right w:val="single" w:sz="4" w:space="0" w:color="auto"/>
            </w:tcBorders>
          </w:tcPr>
          <w:p w:rsidR="00C43182" w:rsidRPr="00C43182" w:rsidRDefault="00C43182" w:rsidP="00EC3E8E">
            <w:pPr>
              <w:widowControl w:val="0"/>
              <w:ind w:left="103"/>
              <w:contextualSpacing/>
              <w:rPr>
                <w:rFonts w:eastAsia="Arial"/>
                <w:sz w:val="22"/>
                <w:szCs w:val="22"/>
              </w:rPr>
            </w:pPr>
            <w:r w:rsidRPr="00C43182">
              <w:rPr>
                <w:rFonts w:eastAsia="Arial"/>
                <w:sz w:val="22"/>
                <w:szCs w:val="22"/>
              </w:rPr>
              <w:t>None</w:t>
            </w:r>
          </w:p>
        </w:tc>
      </w:tr>
      <w:tr w:rsidR="00C43182" w:rsidRPr="00C43182" w:rsidTr="00085C6E">
        <w:trPr>
          <w:trHeight w:hRule="exact" w:val="816"/>
        </w:trPr>
        <w:tc>
          <w:tcPr>
            <w:tcW w:w="1701" w:type="dxa"/>
            <w:vMerge w:val="restart"/>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Overberg Water</w:t>
            </w:r>
          </w:p>
          <w:p w:rsidR="00C43182" w:rsidRPr="00C43182" w:rsidRDefault="00C43182" w:rsidP="00EC3E8E">
            <w:pPr>
              <w:widowControl w:val="0"/>
              <w:ind w:left="94"/>
              <w:contextualSpacing/>
              <w:rPr>
                <w:rFonts w:eastAsia="Arial"/>
                <w:w w:val="95"/>
                <w:sz w:val="22"/>
                <w:szCs w:val="22"/>
              </w:rPr>
            </w:pPr>
          </w:p>
          <w:p w:rsidR="00C43182" w:rsidRPr="00C43182" w:rsidRDefault="00C43182" w:rsidP="00EC3E8E">
            <w:pPr>
              <w:widowControl w:val="0"/>
              <w:ind w:left="94"/>
              <w:contextualSpacing/>
              <w:rPr>
                <w:rFonts w:eastAsia="Arial"/>
                <w:w w:val="95"/>
                <w:sz w:val="22"/>
                <w:szCs w:val="22"/>
              </w:rPr>
            </w:pPr>
          </w:p>
        </w:tc>
        <w:tc>
          <w:tcPr>
            <w:tcW w:w="2694" w:type="dxa"/>
          </w:tcPr>
          <w:p w:rsidR="00C43182" w:rsidRPr="00C43182" w:rsidRDefault="00C43182" w:rsidP="00EC3E8E">
            <w:pPr>
              <w:widowControl w:val="0"/>
              <w:ind w:left="105"/>
              <w:contextualSpacing/>
              <w:rPr>
                <w:rFonts w:eastAsia="Arial"/>
                <w:sz w:val="22"/>
                <w:szCs w:val="22"/>
              </w:rPr>
            </w:pPr>
            <w:r w:rsidRPr="00C43182">
              <w:rPr>
                <w:sz w:val="22"/>
                <w:szCs w:val="22"/>
              </w:rPr>
              <w:t>Transnet rent income for access to the servitude land of Overberg Water</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Transnet R45 265.65 pa (annual escalation 8%)</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Transnet: Area 338 hectares - indefinitely based on a five year review basis</w:t>
            </w:r>
          </w:p>
        </w:tc>
      </w:tr>
      <w:tr w:rsidR="00C43182" w:rsidRPr="00C43182" w:rsidTr="00085C6E">
        <w:trPr>
          <w:trHeight w:hRule="exact" w:val="856"/>
        </w:trPr>
        <w:tc>
          <w:tcPr>
            <w:tcW w:w="1701" w:type="dxa"/>
            <w:vMerge/>
          </w:tcPr>
          <w:p w:rsidR="00C43182" w:rsidRPr="00C43182" w:rsidRDefault="00C43182" w:rsidP="00EC3E8E">
            <w:pPr>
              <w:widowControl w:val="0"/>
              <w:ind w:left="94"/>
              <w:contextualSpacing/>
              <w:rPr>
                <w:rFonts w:eastAsia="Arial"/>
                <w:w w:val="95"/>
                <w:sz w:val="22"/>
                <w:szCs w:val="22"/>
              </w:rPr>
            </w:pP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Telkom rent income for access to the servitude land of Overberg Water</w:t>
            </w:r>
          </w:p>
          <w:p w:rsidR="00C43182" w:rsidRPr="00C43182" w:rsidRDefault="00C43182" w:rsidP="00EC3E8E">
            <w:pPr>
              <w:widowControl w:val="0"/>
              <w:ind w:left="105"/>
              <w:contextualSpacing/>
              <w:rPr>
                <w:rFonts w:eastAsia="Arial"/>
                <w:sz w:val="22"/>
                <w:szCs w:val="22"/>
              </w:rPr>
            </w:pPr>
          </w:p>
          <w:p w:rsidR="00C43182" w:rsidRPr="00C43182" w:rsidRDefault="00C43182" w:rsidP="00EC3E8E">
            <w:pPr>
              <w:widowControl w:val="0"/>
              <w:ind w:left="105"/>
              <w:contextualSpacing/>
              <w:rPr>
                <w:rFonts w:eastAsia="Arial"/>
                <w:sz w:val="22"/>
                <w:szCs w:val="22"/>
              </w:rPr>
            </w:pPr>
          </w:p>
        </w:tc>
        <w:tc>
          <w:tcPr>
            <w:tcW w:w="2976" w:type="dxa"/>
          </w:tcPr>
          <w:p w:rsidR="00C43182" w:rsidRPr="00C43182" w:rsidRDefault="00C43182" w:rsidP="00EC3E8E">
            <w:pPr>
              <w:widowControl w:val="0"/>
              <w:ind w:left="103"/>
              <w:contextualSpacing/>
              <w:rPr>
                <w:rFonts w:eastAsia="Arial"/>
                <w:sz w:val="22"/>
                <w:szCs w:val="22"/>
              </w:rPr>
            </w:pPr>
            <w:r w:rsidRPr="00C43182">
              <w:rPr>
                <w:sz w:val="22"/>
                <w:szCs w:val="22"/>
              </w:rPr>
              <w:t>Telkom R51 757.49 pa (annual escalation 8%)</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Telkom: Area 224 hectares - indefinitely based on a five year review basis</w:t>
            </w:r>
          </w:p>
        </w:tc>
      </w:tr>
      <w:tr w:rsidR="00C43182" w:rsidRPr="00C43182" w:rsidTr="00085C6E">
        <w:trPr>
          <w:trHeight w:hRule="exact" w:val="854"/>
        </w:trPr>
        <w:tc>
          <w:tcPr>
            <w:tcW w:w="1701" w:type="dxa"/>
            <w:vMerge/>
          </w:tcPr>
          <w:p w:rsidR="00C43182" w:rsidRPr="00C43182" w:rsidRDefault="00C43182" w:rsidP="00EC3E8E">
            <w:pPr>
              <w:widowControl w:val="0"/>
              <w:ind w:left="94"/>
              <w:contextualSpacing/>
              <w:rPr>
                <w:rFonts w:eastAsia="Arial"/>
                <w:w w:val="95"/>
                <w:sz w:val="22"/>
                <w:szCs w:val="22"/>
              </w:rPr>
            </w:pP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Vodacom rent income for access to the servitude land of Overberg Water</w:t>
            </w:r>
          </w:p>
          <w:p w:rsidR="00C43182" w:rsidRPr="00C43182" w:rsidRDefault="00C43182" w:rsidP="00EC3E8E">
            <w:pPr>
              <w:widowControl w:val="0"/>
              <w:ind w:left="105"/>
              <w:contextualSpacing/>
              <w:rPr>
                <w:rFonts w:eastAsia="Arial"/>
                <w:sz w:val="22"/>
                <w:szCs w:val="22"/>
              </w:rPr>
            </w:pPr>
          </w:p>
          <w:p w:rsidR="00C43182" w:rsidRPr="00C43182" w:rsidRDefault="00C43182" w:rsidP="00EC3E8E">
            <w:pPr>
              <w:widowControl w:val="0"/>
              <w:ind w:left="105"/>
              <w:contextualSpacing/>
              <w:rPr>
                <w:rFonts w:eastAsia="Arial"/>
                <w:sz w:val="22"/>
                <w:szCs w:val="22"/>
              </w:rPr>
            </w:pPr>
          </w:p>
          <w:p w:rsidR="00C43182" w:rsidRPr="00C43182" w:rsidRDefault="00C43182" w:rsidP="00EC3E8E">
            <w:pPr>
              <w:widowControl w:val="0"/>
              <w:ind w:left="105"/>
              <w:contextualSpacing/>
              <w:rPr>
                <w:rFonts w:eastAsia="Arial"/>
                <w:sz w:val="22"/>
                <w:szCs w:val="22"/>
              </w:rPr>
            </w:pPr>
          </w:p>
        </w:tc>
        <w:tc>
          <w:tcPr>
            <w:tcW w:w="2976" w:type="dxa"/>
          </w:tcPr>
          <w:p w:rsidR="00C43182" w:rsidRPr="00C43182" w:rsidRDefault="00C43182" w:rsidP="00EC3E8E">
            <w:pPr>
              <w:contextualSpacing/>
              <w:jc w:val="both"/>
              <w:rPr>
                <w:sz w:val="22"/>
                <w:szCs w:val="22"/>
              </w:rPr>
            </w:pPr>
            <w:r w:rsidRPr="00C43182">
              <w:rPr>
                <w:sz w:val="22"/>
                <w:szCs w:val="22"/>
              </w:rPr>
              <w:t>Vodacom R40 528.38.49 pa (annual escalation 10%)</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Vodacom: Area 262 hectares - indefinitely based on a five year review basis</w:t>
            </w:r>
          </w:p>
        </w:tc>
      </w:tr>
      <w:tr w:rsidR="00C43182" w:rsidRPr="00C43182" w:rsidTr="00085C6E">
        <w:trPr>
          <w:trHeight w:hRule="exact" w:val="838"/>
        </w:trPr>
        <w:tc>
          <w:tcPr>
            <w:tcW w:w="1701" w:type="dxa"/>
            <w:vMerge/>
          </w:tcPr>
          <w:p w:rsidR="00C43182" w:rsidRPr="00C43182" w:rsidRDefault="00C43182" w:rsidP="00EC3E8E">
            <w:pPr>
              <w:widowControl w:val="0"/>
              <w:ind w:left="94"/>
              <w:contextualSpacing/>
              <w:rPr>
                <w:rFonts w:eastAsia="Arial"/>
                <w:w w:val="95"/>
                <w:sz w:val="22"/>
                <w:szCs w:val="22"/>
              </w:rPr>
            </w:pPr>
          </w:p>
        </w:tc>
        <w:tc>
          <w:tcPr>
            <w:tcW w:w="2694" w:type="dxa"/>
          </w:tcPr>
          <w:p w:rsidR="00C43182" w:rsidRPr="00C43182" w:rsidRDefault="00C43182" w:rsidP="00EC3E8E">
            <w:pPr>
              <w:widowControl w:val="0"/>
              <w:ind w:left="105"/>
              <w:contextualSpacing/>
              <w:rPr>
                <w:rFonts w:eastAsia="Arial"/>
                <w:sz w:val="22"/>
                <w:szCs w:val="22"/>
              </w:rPr>
            </w:pPr>
            <w:r w:rsidRPr="00C43182">
              <w:rPr>
                <w:sz w:val="22"/>
                <w:szCs w:val="22"/>
              </w:rPr>
              <w:t>MTN rent income for access to the servitude land of Overberg Water</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MTN R40 528.38.49 pa (annual escalation 12.38%)</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MTN: Area 230.25 hectares - indefinitely based on a five year review basis</w:t>
            </w:r>
          </w:p>
        </w:tc>
      </w:tr>
      <w:tr w:rsidR="00C43182" w:rsidRPr="00C43182" w:rsidTr="00085C6E">
        <w:trPr>
          <w:trHeight w:hRule="exact" w:val="560"/>
        </w:trPr>
        <w:tc>
          <w:tcPr>
            <w:tcW w:w="1701" w:type="dxa"/>
            <w:vMerge w:val="restart"/>
          </w:tcPr>
          <w:p w:rsidR="00C43182" w:rsidRPr="00C43182" w:rsidRDefault="00C43182" w:rsidP="00EC3E8E">
            <w:pPr>
              <w:widowControl w:val="0"/>
              <w:ind w:left="94"/>
              <w:contextualSpacing/>
              <w:rPr>
                <w:rFonts w:eastAsia="Arial"/>
                <w:w w:val="95"/>
                <w:sz w:val="22"/>
                <w:szCs w:val="22"/>
              </w:rPr>
            </w:pPr>
            <w:r w:rsidRPr="00C43182">
              <w:rPr>
                <w:rFonts w:eastAsia="Arial"/>
                <w:w w:val="95"/>
                <w:sz w:val="22"/>
                <w:szCs w:val="22"/>
              </w:rPr>
              <w:t>Umgeni Water</w:t>
            </w: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Brookdale farm in Howick: Cattle Farming</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R 19 835.92</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200.0408 hectares. 5 Years Lease duration</w:t>
            </w:r>
          </w:p>
        </w:tc>
      </w:tr>
      <w:tr w:rsidR="00C43182" w:rsidRPr="00C43182" w:rsidTr="00085C6E">
        <w:trPr>
          <w:trHeight w:hRule="exact" w:val="800"/>
        </w:trPr>
        <w:tc>
          <w:tcPr>
            <w:tcW w:w="1701" w:type="dxa"/>
            <w:vMerge/>
          </w:tcPr>
          <w:p w:rsidR="00C43182" w:rsidRPr="00C43182" w:rsidRDefault="00C43182" w:rsidP="00EC3E8E">
            <w:pPr>
              <w:widowControl w:val="0"/>
              <w:ind w:left="94"/>
              <w:contextualSpacing/>
              <w:rPr>
                <w:rFonts w:eastAsia="Arial"/>
                <w:w w:val="95"/>
                <w:sz w:val="22"/>
                <w:szCs w:val="22"/>
              </w:rPr>
            </w:pPr>
          </w:p>
        </w:tc>
        <w:tc>
          <w:tcPr>
            <w:tcW w:w="2694" w:type="dxa"/>
          </w:tcPr>
          <w:p w:rsidR="00C43182" w:rsidRPr="00C43182" w:rsidRDefault="00C43182" w:rsidP="00EC3E8E">
            <w:pPr>
              <w:widowControl w:val="0"/>
              <w:ind w:left="105"/>
              <w:contextualSpacing/>
              <w:rPr>
                <w:rFonts w:eastAsia="Arial"/>
                <w:sz w:val="22"/>
                <w:szCs w:val="22"/>
              </w:rPr>
            </w:pPr>
            <w:r w:rsidRPr="00C43182">
              <w:rPr>
                <w:rFonts w:eastAsia="Arial"/>
                <w:sz w:val="22"/>
                <w:szCs w:val="22"/>
              </w:rPr>
              <w:t>Doorenhoek farm (Pietermaritzburg): Sugarcane Farming</w:t>
            </w:r>
          </w:p>
        </w:tc>
        <w:tc>
          <w:tcPr>
            <w:tcW w:w="2976"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R18 163.11</w:t>
            </w:r>
          </w:p>
        </w:tc>
        <w:tc>
          <w:tcPr>
            <w:tcW w:w="2980" w:type="dxa"/>
          </w:tcPr>
          <w:p w:rsidR="00C43182" w:rsidRPr="00C43182" w:rsidRDefault="00C43182" w:rsidP="00EC3E8E">
            <w:pPr>
              <w:widowControl w:val="0"/>
              <w:ind w:left="103"/>
              <w:contextualSpacing/>
              <w:rPr>
                <w:rFonts w:eastAsia="Arial"/>
                <w:sz w:val="22"/>
                <w:szCs w:val="22"/>
              </w:rPr>
            </w:pPr>
            <w:r w:rsidRPr="00C43182">
              <w:rPr>
                <w:rFonts w:eastAsia="Arial"/>
                <w:sz w:val="22"/>
                <w:szCs w:val="22"/>
              </w:rPr>
              <w:t>297.4926 hectares. 10 Years Lease duration</w:t>
            </w:r>
          </w:p>
        </w:tc>
      </w:tr>
    </w:tbl>
    <w:p w:rsidR="009640A4" w:rsidRPr="00C43182" w:rsidRDefault="009640A4" w:rsidP="0026535A">
      <w:pPr>
        <w:spacing w:before="100" w:beforeAutospacing="1" w:after="100" w:afterAutospacing="1" w:line="360" w:lineRule="auto"/>
        <w:ind w:hanging="619"/>
        <w:outlineLvl w:val="0"/>
        <w:rPr>
          <w:sz w:val="24"/>
          <w:szCs w:val="24"/>
        </w:rPr>
      </w:pPr>
    </w:p>
    <w:sectPr w:rsidR="009640A4" w:rsidRPr="00C43182"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13" w:rsidRDefault="00DE2D13" w:rsidP="00054FEC">
      <w:r>
        <w:separator/>
      </w:r>
    </w:p>
  </w:endnote>
  <w:endnote w:type="continuationSeparator" w:id="0">
    <w:p w:rsidR="00DE2D13" w:rsidRDefault="00DE2D1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13" w:rsidRDefault="00DE2D13" w:rsidP="00054FEC">
      <w:r>
        <w:separator/>
      </w:r>
    </w:p>
  </w:footnote>
  <w:footnote w:type="continuationSeparator" w:id="0">
    <w:p w:rsidR="00DE2D13" w:rsidRDefault="00DE2D1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A52004">
      <w:t>4</w:t>
    </w:r>
    <w:r w:rsidR="00924EAF">
      <w:t>5</w:t>
    </w:r>
    <w:r w:rsidR="00C57AC2" w:rsidRPr="00526E7D">
      <w:t xml:space="preserve"> </w:t>
    </w:r>
    <w:r w:rsidR="00ED344E" w:rsidRPr="00526E7D">
      <w:t xml:space="preserve">for </w:t>
    </w:r>
    <w:r w:rsidR="00351776">
      <w:t xml:space="preserve">oral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84A8D"/>
    <w:multiLevelType w:val="hybridMultilevel"/>
    <w:tmpl w:val="C964A94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665171B1"/>
    <w:multiLevelType w:val="hybridMultilevel"/>
    <w:tmpl w:val="F65CE0A8"/>
    <w:lvl w:ilvl="0" w:tplc="4394EC22">
      <w:start w:val="1"/>
      <w:numFmt w:val="lowerRoman"/>
      <w:lvlText w:val="(%1)"/>
      <w:lvlJc w:val="left"/>
      <w:pPr>
        <w:ind w:left="1571" w:hanging="72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6AA50A76"/>
    <w:multiLevelType w:val="hybridMultilevel"/>
    <w:tmpl w:val="DA465EAE"/>
    <w:lvl w:ilvl="0" w:tplc="9C144A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B707790"/>
    <w:multiLevelType w:val="hybridMultilevel"/>
    <w:tmpl w:val="F94A522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130D"/>
    <w:rsid w:val="00042C5B"/>
    <w:rsid w:val="000540D5"/>
    <w:rsid w:val="000542DB"/>
    <w:rsid w:val="00054FEC"/>
    <w:rsid w:val="0005651C"/>
    <w:rsid w:val="00060D86"/>
    <w:rsid w:val="00061B5C"/>
    <w:rsid w:val="00062096"/>
    <w:rsid w:val="00084A46"/>
    <w:rsid w:val="0008518E"/>
    <w:rsid w:val="00085A2A"/>
    <w:rsid w:val="00085C6E"/>
    <w:rsid w:val="000874C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755E4"/>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4322"/>
    <w:rsid w:val="00245CEE"/>
    <w:rsid w:val="002565C1"/>
    <w:rsid w:val="00257C83"/>
    <w:rsid w:val="0026535A"/>
    <w:rsid w:val="00273F15"/>
    <w:rsid w:val="002901FA"/>
    <w:rsid w:val="002922CE"/>
    <w:rsid w:val="002962EB"/>
    <w:rsid w:val="0029651C"/>
    <w:rsid w:val="00297F06"/>
    <w:rsid w:val="002A580A"/>
    <w:rsid w:val="002D3BB8"/>
    <w:rsid w:val="002E0E0B"/>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BC1"/>
    <w:rsid w:val="003A0C97"/>
    <w:rsid w:val="003A48E1"/>
    <w:rsid w:val="003B7EF6"/>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54E9"/>
    <w:rsid w:val="004C34F2"/>
    <w:rsid w:val="004C69D6"/>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013C"/>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1BD1"/>
    <w:rsid w:val="008D4969"/>
    <w:rsid w:val="008D5C43"/>
    <w:rsid w:val="008D5F8E"/>
    <w:rsid w:val="008E39AE"/>
    <w:rsid w:val="008E4350"/>
    <w:rsid w:val="008E4498"/>
    <w:rsid w:val="008E593B"/>
    <w:rsid w:val="008F3F23"/>
    <w:rsid w:val="008F3FE5"/>
    <w:rsid w:val="008F4456"/>
    <w:rsid w:val="009029EE"/>
    <w:rsid w:val="00904841"/>
    <w:rsid w:val="00907BDD"/>
    <w:rsid w:val="00916792"/>
    <w:rsid w:val="00917CDC"/>
    <w:rsid w:val="00924EAF"/>
    <w:rsid w:val="00927BDA"/>
    <w:rsid w:val="009306E0"/>
    <w:rsid w:val="00931E14"/>
    <w:rsid w:val="00933DC0"/>
    <w:rsid w:val="009358D8"/>
    <w:rsid w:val="009407DD"/>
    <w:rsid w:val="00954574"/>
    <w:rsid w:val="009640A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2897"/>
    <w:rsid w:val="00AB3C96"/>
    <w:rsid w:val="00AC0B56"/>
    <w:rsid w:val="00AC5723"/>
    <w:rsid w:val="00AC69A5"/>
    <w:rsid w:val="00AD0644"/>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47F83"/>
    <w:rsid w:val="00B55E3F"/>
    <w:rsid w:val="00B57E32"/>
    <w:rsid w:val="00B605C1"/>
    <w:rsid w:val="00B653F5"/>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3182"/>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59D7"/>
    <w:rsid w:val="00DB75E0"/>
    <w:rsid w:val="00DC28F1"/>
    <w:rsid w:val="00DC5DF3"/>
    <w:rsid w:val="00DD185C"/>
    <w:rsid w:val="00DD54E8"/>
    <w:rsid w:val="00DD7501"/>
    <w:rsid w:val="00DE2D13"/>
    <w:rsid w:val="00DE6494"/>
    <w:rsid w:val="00DF24A7"/>
    <w:rsid w:val="00DF5820"/>
    <w:rsid w:val="00DF79D0"/>
    <w:rsid w:val="00E00DE7"/>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7CF"/>
    <w:rsid w:val="00E84932"/>
    <w:rsid w:val="00E916B8"/>
    <w:rsid w:val="00E92727"/>
    <w:rsid w:val="00E971FE"/>
    <w:rsid w:val="00EB6AA1"/>
    <w:rsid w:val="00EC171E"/>
    <w:rsid w:val="00EC1A90"/>
    <w:rsid w:val="00EC3E8E"/>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2018-02-22T11:11:00Z</cp:lastPrinted>
  <dcterms:created xsi:type="dcterms:W3CDTF">2019-07-18T08:45:00Z</dcterms:created>
  <dcterms:modified xsi:type="dcterms:W3CDTF">2019-07-18T08:45:00Z</dcterms:modified>
</cp:coreProperties>
</file>