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25/11/2022</w:t>
      </w:r>
    </w:p>
    <w:p w:rsidR="006D7B63" w:rsidRPr="000016F3" w:rsidRDefault="00927C3A"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50/2022</w:t>
      </w:r>
    </w:p>
    <w:p w:rsidR="00D1689E" w:rsidRDefault="00927C3A"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4490.  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5E5080" w:rsidRDefault="00927C3A">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5E5080" w:rsidRDefault="00927C3A">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(1)       What is the total number of (a) single-medium schools, (b) double-medium schools and (c) parallel-medium schools (</w:t>
      </w:r>
      <w:proofErr w:type="spellStart"/>
      <w:r>
        <w:rPr>
          <w:rFonts w:ascii="Arial" w:eastAsia="Arial" w:hAnsi="Arial" w:cs="Arial"/>
          <w:sz w:val="24"/>
          <w:szCs w:val="24"/>
        </w:rPr>
        <w:t>i</w:t>
      </w:r>
      <w:proofErr w:type="spellEnd"/>
      <w:r>
        <w:rPr>
          <w:rFonts w:ascii="Arial" w:eastAsia="Arial" w:hAnsi="Arial" w:cs="Arial"/>
          <w:sz w:val="24"/>
          <w:szCs w:val="24"/>
        </w:rPr>
        <w:t>) nationally and (ii) provincially;</w:t>
      </w:r>
    </w:p>
    <w:p w:rsidR="005E5080" w:rsidRDefault="00927C3A">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(2)       what is the total number of single language of instruction schools for each of the official languages (a) nationally and (b) provincially?              </w:t>
      </w:r>
    </w:p>
    <w:p w:rsidR="006D7B63" w:rsidRDefault="00927C3A"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E5080" w:rsidRDefault="00927C3A">
      <w:pPr>
        <w:jc w:val="both"/>
        <w:rPr>
          <w:rFonts w:ascii="Times New Roman" w:eastAsia="Times New Roman" w:hAnsi="Times New Roman" w:cs="Times New Roman"/>
          <w:sz w:val="24"/>
          <w:szCs w:val="24"/>
        </w:rPr>
      </w:pPr>
      <w:r>
        <w:rPr>
          <w:rFonts w:ascii="Arial" w:eastAsia="Arial" w:hAnsi="Arial" w:cs="Arial"/>
          <w:b/>
          <w:bCs/>
          <w:sz w:val="24"/>
          <w:szCs w:val="24"/>
        </w:rPr>
        <w:t>(1)(2)(a)</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Table 1 below shows that majority of schools (5 875) are English single medium schools followed by Afrikaans (1 004) single medium schools. With regards to schools that uses African Languages as single medium, majority of schools are IsiXhosa Single Medium. </w:t>
      </w:r>
    </w:p>
    <w:p w:rsidR="005E5080" w:rsidRDefault="00927C3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6477000" cy="2028825"/>
            <wp:effectExtent l="0" t="0" r="0" b="0"/>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118924" name=""/>
                    <pic:cNvPicPr>
                      <a:picLocks noChangeAspect="1"/>
                    </pic:cNvPicPr>
                  </pic:nvPicPr>
                  <pic:blipFill>
                    <a:blip r:embed="rId8" cstate="print"/>
                    <a:stretch>
                      <a:fillRect/>
                    </a:stretch>
                  </pic:blipFill>
                  <pic:spPr>
                    <a:xfrm>
                      <a:off x="0" y="0"/>
                      <a:ext cx="6477000" cy="2028825"/>
                    </a:xfrm>
                    <a:prstGeom prst="rect">
                      <a:avLst/>
                    </a:prstGeom>
                  </pic:spPr>
                </pic:pic>
              </a:graphicData>
            </a:graphic>
          </wp:inline>
        </w:drawing>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(b) Dual Medium schools are schools that uses two languages of instruction by a teacher in a lesson, switching from one language of instruction to another during a lesson. The Department does not collect information on Dual Medium Schools.</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b/>
          <w:bCs/>
          <w:sz w:val="24"/>
          <w:szCs w:val="24"/>
        </w:rPr>
        <w:t>(c)</w:t>
      </w:r>
    </w:p>
    <w:p w:rsidR="005E5080" w:rsidRDefault="00927C3A">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Table 2 below shows that the majority of parallel-medium schools are found in KwaZulu-Natal  (3 807) teaching in IsiZulu and English </w:t>
      </w:r>
      <w:proofErr w:type="spellStart"/>
      <w:r>
        <w:rPr>
          <w:rFonts w:ascii="Arial" w:eastAsia="Arial" w:hAnsi="Arial" w:cs="Arial"/>
          <w:sz w:val="24"/>
          <w:szCs w:val="24"/>
        </w:rPr>
        <w:t>follwed</w:t>
      </w:r>
      <w:proofErr w:type="spellEnd"/>
      <w:r>
        <w:rPr>
          <w:rFonts w:ascii="Arial" w:eastAsia="Arial" w:hAnsi="Arial" w:cs="Arial"/>
          <w:sz w:val="24"/>
          <w:szCs w:val="24"/>
        </w:rPr>
        <w:t xml:space="preserve"> by the Eastern Cape (3 614) teaching in IsiXhosa and English.</w:t>
      </w:r>
    </w:p>
    <w:p w:rsidR="005E5080" w:rsidRDefault="00927C3A">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en-ZA"/>
        </w:rPr>
        <w:drawing>
          <wp:inline distT="0" distB="0" distL="0" distR="0">
            <wp:extent cx="6191250" cy="2152650"/>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42811" name=""/>
                    <pic:cNvPicPr>
                      <a:picLocks noChangeAspect="1"/>
                    </pic:cNvPicPr>
                  </pic:nvPicPr>
                  <pic:blipFill>
                    <a:blip r:embed="rId9" cstate="print"/>
                    <a:stretch>
                      <a:fillRect/>
                    </a:stretch>
                  </pic:blipFill>
                  <pic:spPr>
                    <a:xfrm>
                      <a:off x="0" y="0"/>
                      <a:ext cx="6191250" cy="2152650"/>
                    </a:xfrm>
                    <a:prstGeom prst="rect">
                      <a:avLst/>
                    </a:prstGeom>
                  </pic:spPr>
                </pic:pic>
              </a:graphicData>
            </a:graphic>
          </wp:inline>
        </w:drawing>
      </w:r>
    </w:p>
    <w:p w:rsidR="005B4653" w:rsidRDefault="005B4653" w:rsidP="000016F3">
      <w:pPr>
        <w:jc w:val="both"/>
        <w:rPr>
          <w:rFonts w:ascii="Arial" w:hAnsi="Arial" w:cs="Arial"/>
          <w:b/>
          <w:sz w:val="24"/>
          <w:szCs w:val="24"/>
        </w:rPr>
      </w:pPr>
      <w:bookmarkStart w:id="0" w:name="_GoBack"/>
      <w:bookmarkEnd w:id="0"/>
    </w:p>
    <w:sectPr w:rsidR="005B4653" w:rsidSect="0044633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33" w:rsidRDefault="007A5833">
      <w:pPr>
        <w:spacing w:after="0" w:line="240" w:lineRule="auto"/>
      </w:pPr>
      <w:r>
        <w:separator/>
      </w:r>
    </w:p>
  </w:endnote>
  <w:endnote w:type="continuationSeparator" w:id="0">
    <w:p w:rsidR="007A5833" w:rsidRDefault="007A5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33" w:rsidRDefault="007A5833">
      <w:pPr>
        <w:spacing w:after="0" w:line="240" w:lineRule="auto"/>
      </w:pPr>
      <w:r>
        <w:separator/>
      </w:r>
    </w:p>
  </w:footnote>
  <w:footnote w:type="continuationSeparator" w:id="0">
    <w:p w:rsidR="007A5833" w:rsidRDefault="007A5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927C3A"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927C3A"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927C3A"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4490.  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044C2896">
      <w:start w:val="1"/>
      <w:numFmt w:val="lowerLetter"/>
      <w:lvlText w:val="(%1)"/>
      <w:lvlJc w:val="left"/>
      <w:pPr>
        <w:ind w:left="1080" w:hanging="360"/>
      </w:pPr>
      <w:rPr>
        <w:rFonts w:eastAsia="Calibri" w:hint="default"/>
        <w:sz w:val="24"/>
      </w:rPr>
    </w:lvl>
    <w:lvl w:ilvl="1" w:tplc="8EDAD712" w:tentative="1">
      <w:start w:val="1"/>
      <w:numFmt w:val="lowerLetter"/>
      <w:lvlText w:val="%2."/>
      <w:lvlJc w:val="left"/>
      <w:pPr>
        <w:ind w:left="1800" w:hanging="360"/>
      </w:pPr>
    </w:lvl>
    <w:lvl w:ilvl="2" w:tplc="7390B744" w:tentative="1">
      <w:start w:val="1"/>
      <w:numFmt w:val="lowerRoman"/>
      <w:lvlText w:val="%3."/>
      <w:lvlJc w:val="right"/>
      <w:pPr>
        <w:ind w:left="2520" w:hanging="180"/>
      </w:pPr>
    </w:lvl>
    <w:lvl w:ilvl="3" w:tplc="6096F55A" w:tentative="1">
      <w:start w:val="1"/>
      <w:numFmt w:val="decimal"/>
      <w:lvlText w:val="%4."/>
      <w:lvlJc w:val="left"/>
      <w:pPr>
        <w:ind w:left="3240" w:hanging="360"/>
      </w:pPr>
    </w:lvl>
    <w:lvl w:ilvl="4" w:tplc="28581A86" w:tentative="1">
      <w:start w:val="1"/>
      <w:numFmt w:val="lowerLetter"/>
      <w:lvlText w:val="%5."/>
      <w:lvlJc w:val="left"/>
      <w:pPr>
        <w:ind w:left="3960" w:hanging="360"/>
      </w:pPr>
    </w:lvl>
    <w:lvl w:ilvl="5" w:tplc="EA042C3A" w:tentative="1">
      <w:start w:val="1"/>
      <w:numFmt w:val="lowerRoman"/>
      <w:lvlText w:val="%6."/>
      <w:lvlJc w:val="right"/>
      <w:pPr>
        <w:ind w:left="4680" w:hanging="180"/>
      </w:pPr>
    </w:lvl>
    <w:lvl w:ilvl="6" w:tplc="F160A3F0" w:tentative="1">
      <w:start w:val="1"/>
      <w:numFmt w:val="decimal"/>
      <w:lvlText w:val="%7."/>
      <w:lvlJc w:val="left"/>
      <w:pPr>
        <w:ind w:left="5400" w:hanging="360"/>
      </w:pPr>
    </w:lvl>
    <w:lvl w:ilvl="7" w:tplc="97AC0658" w:tentative="1">
      <w:start w:val="1"/>
      <w:numFmt w:val="lowerLetter"/>
      <w:lvlText w:val="%8."/>
      <w:lvlJc w:val="left"/>
      <w:pPr>
        <w:ind w:left="6120" w:hanging="360"/>
      </w:pPr>
    </w:lvl>
    <w:lvl w:ilvl="8" w:tplc="A2A07022" w:tentative="1">
      <w:start w:val="1"/>
      <w:numFmt w:val="lowerRoman"/>
      <w:lvlText w:val="%9."/>
      <w:lvlJc w:val="right"/>
      <w:pPr>
        <w:ind w:left="6840" w:hanging="180"/>
      </w:pPr>
    </w:lvl>
  </w:abstractNum>
  <w:abstractNum w:abstractNumId="1">
    <w:nsid w:val="48202B8E"/>
    <w:multiLevelType w:val="hybridMultilevel"/>
    <w:tmpl w:val="8B24878A"/>
    <w:lvl w:ilvl="0" w:tplc="2DC2BD84">
      <w:start w:val="1"/>
      <w:numFmt w:val="lowerLetter"/>
      <w:lvlText w:val="(%1)"/>
      <w:lvlJc w:val="left"/>
      <w:pPr>
        <w:ind w:left="786" w:hanging="360"/>
      </w:pPr>
      <w:rPr>
        <w:rFonts w:hint="default"/>
        <w:sz w:val="24"/>
        <w:szCs w:val="24"/>
      </w:rPr>
    </w:lvl>
    <w:lvl w:ilvl="1" w:tplc="217CD772" w:tentative="1">
      <w:start w:val="1"/>
      <w:numFmt w:val="lowerLetter"/>
      <w:lvlText w:val="%2."/>
      <w:lvlJc w:val="left"/>
      <w:pPr>
        <w:ind w:left="1506" w:hanging="360"/>
      </w:pPr>
    </w:lvl>
    <w:lvl w:ilvl="2" w:tplc="CBDC4032" w:tentative="1">
      <w:start w:val="1"/>
      <w:numFmt w:val="lowerRoman"/>
      <w:lvlText w:val="%3."/>
      <w:lvlJc w:val="right"/>
      <w:pPr>
        <w:ind w:left="2226" w:hanging="180"/>
      </w:pPr>
    </w:lvl>
    <w:lvl w:ilvl="3" w:tplc="4168B054" w:tentative="1">
      <w:start w:val="1"/>
      <w:numFmt w:val="decimal"/>
      <w:lvlText w:val="%4."/>
      <w:lvlJc w:val="left"/>
      <w:pPr>
        <w:ind w:left="2946" w:hanging="360"/>
      </w:pPr>
    </w:lvl>
    <w:lvl w:ilvl="4" w:tplc="1510481E" w:tentative="1">
      <w:start w:val="1"/>
      <w:numFmt w:val="lowerLetter"/>
      <w:lvlText w:val="%5."/>
      <w:lvlJc w:val="left"/>
      <w:pPr>
        <w:ind w:left="3666" w:hanging="360"/>
      </w:pPr>
    </w:lvl>
    <w:lvl w:ilvl="5" w:tplc="15FCD476" w:tentative="1">
      <w:start w:val="1"/>
      <w:numFmt w:val="lowerRoman"/>
      <w:lvlText w:val="%6."/>
      <w:lvlJc w:val="right"/>
      <w:pPr>
        <w:ind w:left="4386" w:hanging="180"/>
      </w:pPr>
    </w:lvl>
    <w:lvl w:ilvl="6" w:tplc="37CAAE0C" w:tentative="1">
      <w:start w:val="1"/>
      <w:numFmt w:val="decimal"/>
      <w:lvlText w:val="%7."/>
      <w:lvlJc w:val="left"/>
      <w:pPr>
        <w:ind w:left="5106" w:hanging="360"/>
      </w:pPr>
    </w:lvl>
    <w:lvl w:ilvl="7" w:tplc="B8A8AA64" w:tentative="1">
      <w:start w:val="1"/>
      <w:numFmt w:val="lowerLetter"/>
      <w:lvlText w:val="%8."/>
      <w:lvlJc w:val="left"/>
      <w:pPr>
        <w:ind w:left="5826" w:hanging="360"/>
      </w:pPr>
    </w:lvl>
    <w:lvl w:ilvl="8" w:tplc="37C625C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4633C"/>
    <w:rsid w:val="004532C0"/>
    <w:rsid w:val="004834DA"/>
    <w:rsid w:val="004A2F02"/>
    <w:rsid w:val="004B34AC"/>
    <w:rsid w:val="004E39FB"/>
    <w:rsid w:val="0052404D"/>
    <w:rsid w:val="005676F7"/>
    <w:rsid w:val="00570560"/>
    <w:rsid w:val="005827AF"/>
    <w:rsid w:val="0059663A"/>
    <w:rsid w:val="005A6E0A"/>
    <w:rsid w:val="005B389D"/>
    <w:rsid w:val="005B4653"/>
    <w:rsid w:val="005C4AB6"/>
    <w:rsid w:val="005E5080"/>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A5833"/>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27C3A"/>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4666C-2143-4C06-9C72-012FECAC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2022-12-08T11:17:00Z</dcterms:created>
  <dcterms:modified xsi:type="dcterms:W3CDTF">2022-12-08T11:17:00Z</dcterms:modified>
</cp:coreProperties>
</file>