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Default="001A0DE4" w:rsidP="00D55234">
      <w:pPr>
        <w:tabs>
          <w:tab w:val="left" w:pos="6237"/>
        </w:tabs>
        <w:jc w:val="left"/>
        <w:rPr>
          <w:rFonts w:cs="Arial"/>
          <w:b/>
          <w:sz w:val="20"/>
          <w:lang w:val="en-US" w:eastAsia="en-US"/>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D55234" w:rsidRDefault="00D55234" w:rsidP="00D55234">
      <w:pPr>
        <w:tabs>
          <w:tab w:val="left" w:pos="6237"/>
        </w:tabs>
        <w:jc w:val="left"/>
        <w:rPr>
          <w:rFonts w:cs="Arial"/>
          <w:b/>
          <w:sz w:val="20"/>
          <w:lang w:val="en-US" w:eastAsia="en-US"/>
        </w:rPr>
      </w:pPr>
    </w:p>
    <w:p w:rsidR="00D55234" w:rsidRDefault="00D55234" w:rsidP="00D55234">
      <w:pPr>
        <w:tabs>
          <w:tab w:val="left" w:pos="6237"/>
        </w:tabs>
        <w:jc w:val="left"/>
        <w:rPr>
          <w:rFonts w:cs="Arial"/>
          <w:b/>
          <w:sz w:val="20"/>
          <w:lang w:val="en-US" w:eastAsia="en-US"/>
        </w:rPr>
      </w:pPr>
    </w:p>
    <w:p w:rsidR="00D55234" w:rsidRDefault="00D55234" w:rsidP="00D55234">
      <w:pPr>
        <w:tabs>
          <w:tab w:val="left" w:pos="6237"/>
        </w:tabs>
        <w:jc w:val="left"/>
        <w:rPr>
          <w:rFonts w:cs="Arial"/>
          <w:b/>
          <w:sz w:val="20"/>
          <w:lang w:val="en-US" w:eastAsia="en-US"/>
        </w:rPr>
      </w:pPr>
    </w:p>
    <w:p w:rsidR="00D55234" w:rsidRPr="00282779" w:rsidRDefault="00D55234" w:rsidP="00D55234">
      <w:pPr>
        <w:tabs>
          <w:tab w:val="left" w:pos="6237"/>
        </w:tabs>
        <w:jc w:val="left"/>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32611">
        <w:rPr>
          <w:b/>
          <w:bCs/>
          <w:sz w:val="24"/>
          <w:szCs w:val="24"/>
        </w:rPr>
        <w:t>4474</w:t>
      </w:r>
      <w:r>
        <w:rPr>
          <w:b/>
          <w:bCs/>
          <w:sz w:val="24"/>
          <w:szCs w:val="24"/>
        </w:rPr>
        <w:t xml:space="preserve"> [</w:t>
      </w:r>
      <w:r w:rsidR="00F32611" w:rsidRPr="00F32611">
        <w:rPr>
          <w:rFonts w:eastAsia="Calibri" w:cs="Arial"/>
          <w:b/>
          <w:sz w:val="24"/>
          <w:szCs w:val="24"/>
        </w:rPr>
        <w:t>NW5600E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32611">
        <w:rPr>
          <w:b/>
          <w:bCs/>
          <w:sz w:val="24"/>
          <w:szCs w:val="24"/>
        </w:rPr>
        <w:t>50</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632887">
        <w:rPr>
          <w:b/>
          <w:bCs/>
          <w:sz w:val="24"/>
          <w:szCs w:val="24"/>
        </w:rPr>
        <w:tab/>
      </w:r>
      <w:r w:rsidR="00B86CE7">
        <w:rPr>
          <w:b/>
          <w:bCs/>
          <w:sz w:val="24"/>
          <w:szCs w:val="24"/>
        </w:rPr>
        <w:t>NOVEM</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9E0EE7">
        <w:rPr>
          <w:b/>
          <w:bCs/>
          <w:sz w:val="24"/>
          <w:szCs w:val="24"/>
        </w:rPr>
        <w:t>06 DECEM</w:t>
      </w:r>
      <w:bookmarkStart w:id="0" w:name="_GoBack"/>
      <w:bookmarkEnd w:id="0"/>
      <w:r w:rsidR="009E0EE7">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F32611"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4474</w:t>
      </w:r>
      <w:r w:rsidR="000367C8">
        <w:rPr>
          <w:rFonts w:eastAsia="Calibri" w:cs="Arial"/>
          <w:b/>
          <w:sz w:val="24"/>
          <w:szCs w:val="24"/>
        </w:rPr>
        <w:t>.</w:t>
      </w:r>
      <w:r w:rsidR="000367C8">
        <w:rPr>
          <w:rFonts w:eastAsia="Calibri" w:cs="Arial"/>
          <w:b/>
          <w:sz w:val="24"/>
          <w:szCs w:val="24"/>
        </w:rPr>
        <w:tab/>
      </w:r>
      <w:r w:rsidRPr="00F32611">
        <w:rPr>
          <w:rFonts w:eastAsia="Calibri" w:cs="Arial"/>
          <w:b/>
          <w:sz w:val="24"/>
          <w:szCs w:val="24"/>
          <w:lang w:val="en-GB" w:eastAsia="en-US"/>
        </w:rPr>
        <w:t xml:space="preserve">Ms S J Graham (DA) </w:t>
      </w:r>
      <w:r w:rsidR="00437DD0" w:rsidRPr="003C11FE">
        <w:rPr>
          <w:rFonts w:eastAsia="Calibri" w:cs="Arial"/>
          <w:b/>
          <w:sz w:val="24"/>
          <w:szCs w:val="24"/>
        </w:rPr>
        <w:t>asked the Minister of Public Works and Infrastructure</w:t>
      </w:r>
      <w:r w:rsidR="005A43B4"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5A43B4" w:rsidRPr="003C11FE">
        <w:rPr>
          <w:rFonts w:eastAsia="Calibri" w:cs="Arial"/>
          <w:b/>
          <w:sz w:val="24"/>
          <w:szCs w:val="24"/>
        </w:rPr>
        <w:fldChar w:fldCharType="end"/>
      </w:r>
      <w:r w:rsidR="00437DD0" w:rsidRPr="003C11FE">
        <w:rPr>
          <w:rFonts w:eastAsia="Calibri" w:cs="Arial"/>
          <w:b/>
          <w:sz w:val="24"/>
          <w:szCs w:val="24"/>
        </w:rPr>
        <w:t>:</w:t>
      </w:r>
    </w:p>
    <w:p w:rsidR="00F32611" w:rsidRPr="00F32611" w:rsidRDefault="00F32611" w:rsidP="00AA78D1">
      <w:pPr>
        <w:spacing w:before="100" w:beforeAutospacing="1"/>
        <w:ind w:left="567" w:right="450" w:hanging="589"/>
        <w:rPr>
          <w:rFonts w:eastAsia="Calibri" w:cs="Arial"/>
          <w:sz w:val="24"/>
          <w:szCs w:val="24"/>
          <w:lang w:eastAsia="en-US"/>
        </w:rPr>
      </w:pPr>
      <w:r w:rsidRPr="00F32611">
        <w:rPr>
          <w:rFonts w:eastAsia="Calibri" w:cs="Arial"/>
          <w:sz w:val="24"/>
          <w:szCs w:val="24"/>
          <w:lang w:eastAsia="en-US"/>
        </w:rPr>
        <w:t>(1)</w:t>
      </w:r>
      <w:r w:rsidRPr="00F32611">
        <w:rPr>
          <w:rFonts w:eastAsia="Calibri" w:cs="Arial"/>
          <w:sz w:val="24"/>
          <w:szCs w:val="24"/>
          <w:lang w:eastAsia="en-US"/>
        </w:rPr>
        <w:tab/>
        <w:t>With reference to charges brought against certain persons (names furnished), (a) what total number of disciplinary hearings have been finalised and (b) who presided over the specified disciplinary hearings;</w:t>
      </w:r>
    </w:p>
    <w:p w:rsidR="00F32611" w:rsidRPr="00F32611" w:rsidRDefault="00F32611" w:rsidP="00AA78D1">
      <w:pPr>
        <w:ind w:left="567" w:right="450" w:hanging="589"/>
        <w:rPr>
          <w:rFonts w:eastAsia="Calibri" w:cs="Arial"/>
          <w:sz w:val="24"/>
          <w:szCs w:val="24"/>
          <w:lang w:eastAsia="en-US"/>
        </w:rPr>
      </w:pPr>
    </w:p>
    <w:p w:rsidR="00F32611" w:rsidRPr="00F32611" w:rsidRDefault="00F32611" w:rsidP="00AA78D1">
      <w:pPr>
        <w:ind w:left="567" w:right="450" w:hanging="589"/>
        <w:rPr>
          <w:rFonts w:eastAsia="Calibri" w:cs="Arial"/>
          <w:sz w:val="24"/>
          <w:szCs w:val="24"/>
          <w:lang w:eastAsia="en-US"/>
        </w:rPr>
      </w:pPr>
      <w:r w:rsidRPr="00F32611">
        <w:rPr>
          <w:rFonts w:eastAsia="Calibri" w:cs="Arial"/>
          <w:sz w:val="24"/>
          <w:szCs w:val="24"/>
          <w:lang w:eastAsia="en-US"/>
        </w:rPr>
        <w:t>(2)</w:t>
      </w:r>
      <w:r w:rsidRPr="00F32611">
        <w:rPr>
          <w:rFonts w:eastAsia="Calibri" w:cs="Arial"/>
          <w:sz w:val="24"/>
          <w:szCs w:val="24"/>
          <w:lang w:eastAsia="en-US"/>
        </w:rPr>
        <w:tab/>
        <w:t xml:space="preserve">with reference to certain individuals in the employ of the Independent Development Trust who were facing disciplinary hearings, what are the (a) outcomes in terms of officials (i) found guilty and (ii) exonerated, (b) proposed sanctions for those found guilty and (c) mechanisms that have been instituted to recover costs incurred as a result of the acts of those found guilty; </w:t>
      </w:r>
    </w:p>
    <w:p w:rsidR="00632887" w:rsidRPr="00F32611" w:rsidRDefault="00F32611" w:rsidP="00AA78D1">
      <w:pPr>
        <w:ind w:left="567" w:right="26" w:hanging="589"/>
        <w:outlineLvl w:val="0"/>
        <w:rPr>
          <w:rFonts w:eastAsia="Calibri" w:cs="Arial"/>
          <w:b/>
          <w:sz w:val="24"/>
          <w:szCs w:val="24"/>
          <w:lang w:eastAsia="en-US"/>
        </w:rPr>
      </w:pPr>
      <w:r w:rsidRPr="00F32611">
        <w:rPr>
          <w:rFonts w:eastAsia="Calibri" w:cs="Arial"/>
          <w:sz w:val="24"/>
          <w:szCs w:val="24"/>
          <w:lang w:eastAsia="en-US"/>
        </w:rPr>
        <w:t>(3)</w:t>
      </w:r>
      <w:r w:rsidRPr="00F32611">
        <w:rPr>
          <w:rFonts w:eastAsia="Calibri" w:cs="Arial"/>
          <w:sz w:val="24"/>
          <w:szCs w:val="24"/>
          <w:lang w:eastAsia="en-US"/>
        </w:rPr>
        <w:tab/>
        <w:t>whether any disciplinary hearing outcomes have been appealed against; if not, what is the position in this regard; if so, what are the relevant details?</w:t>
      </w:r>
      <w:r w:rsidR="00AA78D1">
        <w:rPr>
          <w:rFonts w:eastAsia="Calibri" w:cs="Arial"/>
          <w:sz w:val="24"/>
          <w:szCs w:val="24"/>
          <w:lang w:eastAsia="en-US"/>
        </w:rPr>
        <w:tab/>
      </w:r>
      <w:r w:rsidR="00AA78D1">
        <w:rPr>
          <w:rFonts w:eastAsia="Calibri" w:cs="Arial"/>
          <w:sz w:val="24"/>
          <w:szCs w:val="24"/>
          <w:lang w:eastAsia="en-US"/>
        </w:rPr>
        <w:tab/>
      </w:r>
      <w:r w:rsidRPr="00F32611">
        <w:rPr>
          <w:rFonts w:eastAsia="Calibri" w:cs="Arial"/>
          <w:sz w:val="24"/>
          <w:szCs w:val="24"/>
          <w:lang w:eastAsia="en-US"/>
        </w:rPr>
        <w:t xml:space="preserve"> </w:t>
      </w:r>
      <w:r w:rsidRPr="00AA78D1">
        <w:rPr>
          <w:rFonts w:eastAsia="Calibri" w:cs="Arial"/>
          <w:b/>
          <w:sz w:val="20"/>
          <w:lang w:eastAsia="en-US"/>
        </w:rPr>
        <w:t>NW5600E</w:t>
      </w:r>
    </w:p>
    <w:p w:rsidR="00F32611" w:rsidRPr="000E3B64" w:rsidRDefault="00F32611" w:rsidP="00F32611">
      <w:pPr>
        <w:pBdr>
          <w:bottom w:val="single" w:sz="12" w:space="1" w:color="auto"/>
        </w:pBdr>
        <w:tabs>
          <w:tab w:val="left" w:pos="2526"/>
        </w:tabs>
        <w:ind w:right="26"/>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E24576" w:rsidRDefault="00E24576" w:rsidP="00CF392F">
      <w:pPr>
        <w:jc w:val="left"/>
        <w:rPr>
          <w:rFonts w:cs="Arial"/>
          <w:sz w:val="24"/>
          <w:szCs w:val="24"/>
          <w:lang w:val="en-US" w:eastAsia="en-US"/>
        </w:rPr>
      </w:pPr>
    </w:p>
    <w:p w:rsidR="00AA78D1" w:rsidRDefault="00AA78D1" w:rsidP="00AA78D1">
      <w:pPr>
        <w:rPr>
          <w:b/>
          <w:bCs/>
          <w:sz w:val="24"/>
          <w:szCs w:val="24"/>
        </w:rPr>
      </w:pPr>
    </w:p>
    <w:p w:rsidR="00AA78D1" w:rsidRDefault="00AA78D1" w:rsidP="00AA78D1">
      <w:pPr>
        <w:rPr>
          <w:bCs/>
          <w:sz w:val="24"/>
          <w:szCs w:val="24"/>
        </w:rPr>
      </w:pPr>
      <w:r>
        <w:rPr>
          <w:bCs/>
          <w:sz w:val="24"/>
          <w:szCs w:val="24"/>
        </w:rPr>
        <w:t xml:space="preserve">(1) (a) and (b) </w:t>
      </w:r>
      <w:r w:rsidR="00D55234">
        <w:rPr>
          <w:bCs/>
          <w:sz w:val="24"/>
          <w:szCs w:val="24"/>
        </w:rPr>
        <w:t>I have been informed that five (</w:t>
      </w:r>
      <w:r>
        <w:rPr>
          <w:bCs/>
          <w:sz w:val="24"/>
          <w:szCs w:val="24"/>
        </w:rPr>
        <w:t>5</w:t>
      </w:r>
      <w:r w:rsidR="00D55234">
        <w:rPr>
          <w:bCs/>
          <w:sz w:val="24"/>
          <w:szCs w:val="24"/>
        </w:rPr>
        <w:t>)</w:t>
      </w:r>
      <w:r>
        <w:rPr>
          <w:bCs/>
          <w:sz w:val="24"/>
          <w:szCs w:val="24"/>
        </w:rPr>
        <w:t xml:space="preserve"> disciplinary hearings have been finalised and details concerning the persons in question are outlined in tabled 1 below.</w:t>
      </w:r>
    </w:p>
    <w:p w:rsidR="00AA78D1" w:rsidRDefault="00AA78D1" w:rsidP="00AA78D1">
      <w:pPr>
        <w:rPr>
          <w:bCs/>
          <w:sz w:val="24"/>
          <w:szCs w:val="24"/>
        </w:rPr>
      </w:pPr>
    </w:p>
    <w:p w:rsidR="00AA78D1" w:rsidRDefault="00AA78D1" w:rsidP="00AA78D1">
      <w:pPr>
        <w:rPr>
          <w:bCs/>
          <w:sz w:val="24"/>
          <w:szCs w:val="24"/>
        </w:rPr>
      </w:pPr>
      <w:r>
        <w:rPr>
          <w:bCs/>
          <w:sz w:val="24"/>
          <w:szCs w:val="24"/>
        </w:rPr>
        <w:t>(2) Please see details in table 1 below.</w:t>
      </w:r>
    </w:p>
    <w:p w:rsidR="00AA78D1" w:rsidRDefault="00AA78D1" w:rsidP="00AA78D1">
      <w:pPr>
        <w:rPr>
          <w:bCs/>
          <w:sz w:val="24"/>
          <w:szCs w:val="24"/>
        </w:rPr>
      </w:pPr>
    </w:p>
    <w:p w:rsidR="00AA78D1" w:rsidRDefault="00AA78D1" w:rsidP="00AA78D1">
      <w:pPr>
        <w:rPr>
          <w:bCs/>
          <w:sz w:val="24"/>
          <w:szCs w:val="24"/>
        </w:rPr>
      </w:pPr>
      <w:r>
        <w:rPr>
          <w:bCs/>
          <w:sz w:val="24"/>
          <w:szCs w:val="24"/>
        </w:rPr>
        <w:t>(3) Please see details in table 1 below.</w:t>
      </w:r>
    </w:p>
    <w:p w:rsidR="00AA78D1" w:rsidRDefault="00AA78D1" w:rsidP="00AA78D1">
      <w:pPr>
        <w:rPr>
          <w:bCs/>
          <w:sz w:val="24"/>
          <w:szCs w:val="24"/>
        </w:rPr>
      </w:pPr>
    </w:p>
    <w:p w:rsidR="00AA78D1" w:rsidRPr="00D55234" w:rsidRDefault="00AA78D1" w:rsidP="00AA78D1">
      <w:pPr>
        <w:rPr>
          <w:rFonts w:cs="Arial"/>
          <w:bCs/>
          <w:sz w:val="24"/>
          <w:szCs w:val="24"/>
        </w:rPr>
      </w:pPr>
      <w:r w:rsidRPr="00D55234">
        <w:rPr>
          <w:rFonts w:cs="Arial"/>
          <w:bCs/>
          <w:sz w:val="24"/>
          <w:szCs w:val="24"/>
        </w:rPr>
        <w:lastRenderedPageBreak/>
        <w:t xml:space="preserve">Table 1: </w:t>
      </w:r>
    </w:p>
    <w:tbl>
      <w:tblPr>
        <w:tblStyle w:val="TableGrid"/>
        <w:tblpPr w:leftFromText="180" w:rightFromText="180" w:vertAnchor="text" w:horzAnchor="margin" w:tblpY="10"/>
        <w:tblW w:w="9351" w:type="dxa"/>
        <w:tblLayout w:type="fixed"/>
        <w:tblLook w:val="04A0"/>
      </w:tblPr>
      <w:tblGrid>
        <w:gridCol w:w="1019"/>
        <w:gridCol w:w="1188"/>
        <w:gridCol w:w="1899"/>
        <w:gridCol w:w="1418"/>
        <w:gridCol w:w="1275"/>
        <w:gridCol w:w="1134"/>
        <w:gridCol w:w="1418"/>
      </w:tblGrid>
      <w:tr w:rsidR="00AA78D1" w:rsidRPr="00D55234" w:rsidTr="00D55234">
        <w:tc>
          <w:tcPr>
            <w:tcW w:w="1019"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 xml:space="preserve">Number </w:t>
            </w:r>
          </w:p>
        </w:tc>
        <w:tc>
          <w:tcPr>
            <w:tcW w:w="1188"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Name and Surname</w:t>
            </w:r>
          </w:p>
        </w:tc>
        <w:tc>
          <w:tcPr>
            <w:tcW w:w="1899"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(1) (b) Presiding officer and Prosecuting Officer</w:t>
            </w:r>
          </w:p>
        </w:tc>
        <w:tc>
          <w:tcPr>
            <w:tcW w:w="1418"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(2) (a) (i) and (ii) Outcome of the cases</w:t>
            </w:r>
          </w:p>
        </w:tc>
        <w:tc>
          <w:tcPr>
            <w:tcW w:w="1275"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(2) (b) Proposed sanction by DC</w:t>
            </w:r>
          </w:p>
        </w:tc>
        <w:tc>
          <w:tcPr>
            <w:tcW w:w="1134"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 xml:space="preserve">Mechanisms to recover the cost incurred </w:t>
            </w:r>
          </w:p>
        </w:tc>
        <w:tc>
          <w:tcPr>
            <w:tcW w:w="1418" w:type="dxa"/>
          </w:tcPr>
          <w:p w:rsidR="00AA78D1" w:rsidRPr="00D55234" w:rsidRDefault="00AA78D1" w:rsidP="00D55234">
            <w:pPr>
              <w:jc w:val="left"/>
              <w:rPr>
                <w:rFonts w:cs="Arial"/>
                <w:b/>
                <w:sz w:val="24"/>
                <w:szCs w:val="24"/>
                <w:lang w:val="en-US" w:eastAsia="en-US"/>
              </w:rPr>
            </w:pPr>
            <w:r w:rsidRPr="00D55234">
              <w:rPr>
                <w:rFonts w:cs="Arial"/>
                <w:b/>
                <w:sz w:val="24"/>
                <w:szCs w:val="24"/>
                <w:lang w:val="en-US" w:eastAsia="en-US"/>
              </w:rPr>
              <w:t>(3) Appeal or No Appeal</w:t>
            </w:r>
          </w:p>
        </w:tc>
      </w:tr>
      <w:tr w:rsidR="001F490F" w:rsidRPr="00D55234" w:rsidTr="00D55234">
        <w:trPr>
          <w:trHeight w:val="1897"/>
        </w:trPr>
        <w:tc>
          <w:tcPr>
            <w:tcW w:w="1019"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1.</w:t>
            </w:r>
          </w:p>
        </w:tc>
        <w:tc>
          <w:tcPr>
            <w:tcW w:w="118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Ms Nditsheni Raliphada</w:t>
            </w:r>
          </w:p>
        </w:tc>
        <w:tc>
          <w:tcPr>
            <w:tcW w:w="1899"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C J Mkhavele Incorporated and Maphoso Mokoena Attorneys</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 xml:space="preserve">Dismissal </w:t>
            </w:r>
          </w:p>
        </w:tc>
        <w:tc>
          <w:tcPr>
            <w:tcW w:w="1275"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Dismissal</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Yes</w:t>
            </w:r>
          </w:p>
          <w:p w:rsidR="001F490F" w:rsidRPr="00D55234" w:rsidRDefault="001F490F" w:rsidP="001F490F">
            <w:pPr>
              <w:jc w:val="left"/>
              <w:rPr>
                <w:rFonts w:cs="Arial"/>
                <w:sz w:val="24"/>
                <w:szCs w:val="24"/>
                <w:lang w:val="en-US" w:eastAsia="en-US"/>
              </w:rPr>
            </w:pPr>
          </w:p>
          <w:p w:rsidR="001F490F" w:rsidRPr="00D55234" w:rsidRDefault="001F490F" w:rsidP="001F490F">
            <w:pPr>
              <w:jc w:val="left"/>
              <w:rPr>
                <w:rFonts w:cs="Arial"/>
                <w:sz w:val="24"/>
                <w:szCs w:val="24"/>
                <w:lang w:val="en-US" w:eastAsia="en-US"/>
              </w:rPr>
            </w:pPr>
            <w:r w:rsidRPr="00D55234">
              <w:rPr>
                <w:rFonts w:cs="Arial"/>
                <w:sz w:val="24"/>
                <w:szCs w:val="24"/>
                <w:lang w:val="en-US" w:eastAsia="en-US"/>
              </w:rPr>
              <w:t>The appeal was finalized on the 17 November 2022. Awaiting outcome of appeal</w:t>
            </w:r>
          </w:p>
        </w:tc>
      </w:tr>
      <w:tr w:rsidR="001F490F" w:rsidRPr="00D55234" w:rsidTr="00D55234">
        <w:tc>
          <w:tcPr>
            <w:tcW w:w="1019"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2. </w:t>
            </w:r>
          </w:p>
        </w:tc>
        <w:tc>
          <w:tcPr>
            <w:tcW w:w="1188"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Ms Lydia Ludick</w:t>
            </w:r>
          </w:p>
        </w:tc>
        <w:tc>
          <w:tcPr>
            <w:tcW w:w="1899"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C J Mkhavele Incorporated and Maphoso Mokoena Attorneys</w:t>
            </w:r>
          </w:p>
          <w:p w:rsidR="001F490F" w:rsidRPr="00D55234" w:rsidRDefault="001F490F" w:rsidP="001F490F">
            <w:pPr>
              <w:jc w:val="left"/>
              <w:rPr>
                <w:rFonts w:cs="Arial"/>
                <w:sz w:val="24"/>
                <w:szCs w:val="24"/>
                <w:lang w:val="en-US" w:eastAsia="en-US"/>
              </w:rPr>
            </w:pP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Final written warning.</w:t>
            </w:r>
          </w:p>
        </w:tc>
        <w:tc>
          <w:tcPr>
            <w:tcW w:w="1275"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 xml:space="preserve">Final written warning </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 xml:space="preserve"> No appeal</w:t>
            </w:r>
          </w:p>
        </w:tc>
      </w:tr>
      <w:tr w:rsidR="001F490F" w:rsidRPr="00D55234" w:rsidTr="00D55234">
        <w:trPr>
          <w:trHeight w:val="370"/>
        </w:trPr>
        <w:tc>
          <w:tcPr>
            <w:tcW w:w="1019"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3. </w:t>
            </w:r>
          </w:p>
        </w:tc>
        <w:tc>
          <w:tcPr>
            <w:tcW w:w="1188"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Florence Mthenjane</w:t>
            </w:r>
          </w:p>
        </w:tc>
        <w:tc>
          <w:tcPr>
            <w:tcW w:w="1899"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C J Mkhavele Incorporated and Maphoso Mokoena</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Disciplinary process progress</w:t>
            </w:r>
          </w:p>
          <w:p w:rsidR="001F490F" w:rsidRPr="00D55234" w:rsidRDefault="001F490F" w:rsidP="001F490F">
            <w:pPr>
              <w:jc w:val="left"/>
              <w:rPr>
                <w:rFonts w:cs="Arial"/>
                <w:sz w:val="24"/>
                <w:szCs w:val="24"/>
                <w:lang w:val="en-US" w:eastAsia="en-US"/>
              </w:rPr>
            </w:pPr>
            <w:r w:rsidRPr="00D55234">
              <w:rPr>
                <w:rFonts w:cs="Arial"/>
                <w:sz w:val="24"/>
                <w:szCs w:val="24"/>
                <w:lang w:val="en-US" w:eastAsia="en-US"/>
              </w:rPr>
              <w:t>Process underway for medical boarding benefit.</w:t>
            </w:r>
          </w:p>
          <w:p w:rsidR="001F490F" w:rsidRPr="00D55234" w:rsidRDefault="001F490F" w:rsidP="001F490F">
            <w:pPr>
              <w:jc w:val="left"/>
              <w:rPr>
                <w:rFonts w:cs="Arial"/>
                <w:sz w:val="24"/>
                <w:szCs w:val="24"/>
                <w:lang w:val="en-US" w:eastAsia="en-US"/>
              </w:rPr>
            </w:pPr>
          </w:p>
        </w:tc>
        <w:tc>
          <w:tcPr>
            <w:tcW w:w="1275"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 xml:space="preserve">None </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 appeal</w:t>
            </w:r>
          </w:p>
        </w:tc>
      </w:tr>
      <w:tr w:rsidR="001F490F" w:rsidRPr="00D55234" w:rsidTr="00D55234">
        <w:tc>
          <w:tcPr>
            <w:tcW w:w="1019"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4. </w:t>
            </w:r>
          </w:p>
        </w:tc>
        <w:tc>
          <w:tcPr>
            <w:tcW w:w="1188"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Simon Matsoso</w:t>
            </w:r>
          </w:p>
        </w:tc>
        <w:tc>
          <w:tcPr>
            <w:tcW w:w="1899" w:type="dxa"/>
          </w:tcPr>
          <w:p w:rsidR="001F490F" w:rsidRPr="00D55234" w:rsidRDefault="001F490F" w:rsidP="001F490F">
            <w:pPr>
              <w:jc w:val="left"/>
              <w:rPr>
                <w:rFonts w:cs="Arial"/>
                <w:color w:val="000000"/>
                <w:sz w:val="24"/>
                <w:szCs w:val="24"/>
                <w:lang w:val="en-US" w:eastAsia="en-US"/>
              </w:rPr>
            </w:pPr>
            <w:r w:rsidRPr="00D55234">
              <w:rPr>
                <w:rFonts w:cs="Arial"/>
                <w:sz w:val="24"/>
                <w:szCs w:val="24"/>
                <w:lang w:val="en-US" w:eastAsia="en-US"/>
              </w:rPr>
              <w:t>C J Mkhavele Incorporated and Maphoso Mokoena Attorneys</w:t>
            </w:r>
          </w:p>
        </w:tc>
        <w:tc>
          <w:tcPr>
            <w:tcW w:w="1418" w:type="dxa"/>
          </w:tcPr>
          <w:p w:rsidR="001F490F" w:rsidRPr="00D55234" w:rsidRDefault="001F490F" w:rsidP="001F490F">
            <w:pPr>
              <w:jc w:val="left"/>
              <w:rPr>
                <w:rFonts w:cs="Arial"/>
                <w:color w:val="000000"/>
                <w:sz w:val="24"/>
                <w:szCs w:val="24"/>
                <w:lang w:val="en-US" w:eastAsia="en-US"/>
              </w:rPr>
            </w:pPr>
            <w:r w:rsidRPr="00D55234">
              <w:rPr>
                <w:rFonts w:cs="Arial"/>
                <w:sz w:val="24"/>
                <w:szCs w:val="24"/>
                <w:lang w:val="en-US" w:eastAsia="en-US"/>
              </w:rPr>
              <w:t>Mutual Separation agreed but the employee refused to sign thereafter</w:t>
            </w:r>
          </w:p>
        </w:tc>
        <w:tc>
          <w:tcPr>
            <w:tcW w:w="1275"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None </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Case at CCMA</w:t>
            </w:r>
          </w:p>
        </w:tc>
      </w:tr>
      <w:tr w:rsidR="001F490F" w:rsidRPr="00D55234" w:rsidTr="00D55234">
        <w:tc>
          <w:tcPr>
            <w:tcW w:w="1019"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5. </w:t>
            </w:r>
          </w:p>
        </w:tc>
        <w:tc>
          <w:tcPr>
            <w:tcW w:w="1188"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Mr Stephanus Lewis</w:t>
            </w:r>
          </w:p>
        </w:tc>
        <w:tc>
          <w:tcPr>
            <w:tcW w:w="1899" w:type="dxa"/>
          </w:tcPr>
          <w:p w:rsidR="001F490F" w:rsidRPr="00D55234" w:rsidRDefault="001F490F" w:rsidP="001F490F">
            <w:pPr>
              <w:jc w:val="left"/>
              <w:rPr>
                <w:rFonts w:cs="Arial"/>
                <w:color w:val="000000"/>
                <w:sz w:val="24"/>
                <w:szCs w:val="24"/>
                <w:lang w:val="en-US" w:eastAsia="en-US"/>
              </w:rPr>
            </w:pPr>
            <w:r w:rsidRPr="00D55234">
              <w:rPr>
                <w:rFonts w:cs="Arial"/>
                <w:sz w:val="24"/>
                <w:szCs w:val="24"/>
                <w:lang w:val="en-US" w:eastAsia="en-US"/>
              </w:rPr>
              <w:t>C J Mkhavele Incorporated and Maphoso Mokoena Attorneys</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Mutual Separation</w:t>
            </w:r>
          </w:p>
          <w:p w:rsidR="001F490F" w:rsidRPr="00D55234" w:rsidRDefault="001F490F" w:rsidP="001F490F">
            <w:pPr>
              <w:jc w:val="left"/>
              <w:rPr>
                <w:rFonts w:cs="Arial"/>
                <w:color w:val="000000"/>
                <w:sz w:val="24"/>
                <w:szCs w:val="24"/>
                <w:lang w:val="en-US" w:eastAsia="en-US"/>
              </w:rPr>
            </w:pPr>
          </w:p>
        </w:tc>
        <w:tc>
          <w:tcPr>
            <w:tcW w:w="1275"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None </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 appeal</w:t>
            </w:r>
          </w:p>
        </w:tc>
      </w:tr>
      <w:tr w:rsidR="001F490F" w:rsidRPr="00D55234" w:rsidTr="00D55234">
        <w:tc>
          <w:tcPr>
            <w:tcW w:w="1019"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6. </w:t>
            </w:r>
          </w:p>
        </w:tc>
        <w:tc>
          <w:tcPr>
            <w:tcW w:w="1188"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Mr Bali Mamabolo</w:t>
            </w:r>
          </w:p>
        </w:tc>
        <w:tc>
          <w:tcPr>
            <w:tcW w:w="1899" w:type="dxa"/>
          </w:tcPr>
          <w:p w:rsidR="001F490F" w:rsidRPr="00D55234" w:rsidRDefault="001F490F" w:rsidP="001F490F">
            <w:pPr>
              <w:jc w:val="left"/>
              <w:rPr>
                <w:rFonts w:cs="Arial"/>
                <w:color w:val="000000"/>
                <w:sz w:val="24"/>
                <w:szCs w:val="24"/>
                <w:lang w:val="en-US" w:eastAsia="en-US"/>
              </w:rPr>
            </w:pPr>
            <w:r w:rsidRPr="00D55234">
              <w:rPr>
                <w:rFonts w:cs="Arial"/>
                <w:sz w:val="24"/>
                <w:szCs w:val="24"/>
                <w:lang w:val="en-US" w:eastAsia="en-US"/>
              </w:rPr>
              <w:t>C J Mkhavele Incorporated and Maphoso Mokoena Attorneys</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Mutual Separation</w:t>
            </w:r>
          </w:p>
          <w:p w:rsidR="001F490F" w:rsidRPr="00D55234" w:rsidRDefault="001F490F" w:rsidP="001F490F">
            <w:pPr>
              <w:jc w:val="left"/>
              <w:rPr>
                <w:rFonts w:cs="Arial"/>
                <w:color w:val="000000"/>
                <w:sz w:val="24"/>
                <w:szCs w:val="24"/>
                <w:lang w:val="en-US" w:eastAsia="en-US"/>
              </w:rPr>
            </w:pPr>
          </w:p>
        </w:tc>
        <w:tc>
          <w:tcPr>
            <w:tcW w:w="1275" w:type="dxa"/>
          </w:tcPr>
          <w:p w:rsidR="001F490F" w:rsidRPr="00D55234" w:rsidRDefault="001F490F" w:rsidP="001F490F">
            <w:pPr>
              <w:jc w:val="left"/>
              <w:rPr>
                <w:rFonts w:cs="Arial"/>
                <w:color w:val="000000"/>
                <w:sz w:val="24"/>
                <w:szCs w:val="24"/>
                <w:lang w:val="en-US" w:eastAsia="en-US"/>
              </w:rPr>
            </w:pPr>
            <w:r w:rsidRPr="00D55234">
              <w:rPr>
                <w:rFonts w:cs="Arial"/>
                <w:color w:val="000000"/>
                <w:sz w:val="24"/>
                <w:szCs w:val="24"/>
                <w:lang w:val="en-US" w:eastAsia="en-US"/>
              </w:rPr>
              <w:t xml:space="preserve">None </w:t>
            </w:r>
          </w:p>
        </w:tc>
        <w:tc>
          <w:tcPr>
            <w:tcW w:w="1134"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None</w:t>
            </w:r>
          </w:p>
        </w:tc>
        <w:tc>
          <w:tcPr>
            <w:tcW w:w="1418" w:type="dxa"/>
          </w:tcPr>
          <w:p w:rsidR="001F490F" w:rsidRPr="00D55234" w:rsidRDefault="001F490F" w:rsidP="001F490F">
            <w:pPr>
              <w:jc w:val="left"/>
              <w:rPr>
                <w:rFonts w:cs="Arial"/>
                <w:sz w:val="24"/>
                <w:szCs w:val="24"/>
                <w:lang w:val="en-US" w:eastAsia="en-US"/>
              </w:rPr>
            </w:pPr>
            <w:r w:rsidRPr="00D55234">
              <w:rPr>
                <w:rFonts w:cs="Arial"/>
                <w:sz w:val="24"/>
                <w:szCs w:val="24"/>
                <w:lang w:val="en-US" w:eastAsia="en-US"/>
              </w:rPr>
              <w:t>No appeal</w:t>
            </w:r>
          </w:p>
        </w:tc>
      </w:tr>
    </w:tbl>
    <w:p w:rsidR="00AA78D1" w:rsidRDefault="00AA78D1" w:rsidP="00CF392F">
      <w:pPr>
        <w:jc w:val="left"/>
        <w:rPr>
          <w:rFonts w:cs="Arial"/>
          <w:sz w:val="24"/>
          <w:szCs w:val="24"/>
          <w:lang w:val="en-US" w:eastAsia="en-US"/>
        </w:rPr>
      </w:pPr>
    </w:p>
    <w:sectPr w:rsidR="00AA78D1" w:rsidSect="00737890">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9A" w:rsidRDefault="002C239A" w:rsidP="00B01072">
      <w:r>
        <w:separator/>
      </w:r>
    </w:p>
  </w:endnote>
  <w:endnote w:type="continuationSeparator" w:id="0">
    <w:p w:rsidR="002C239A" w:rsidRDefault="002C239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34" w:rsidRPr="00745B02" w:rsidRDefault="00D55234"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4474</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F32611">
      <w:rPr>
        <w:rFonts w:cs="Arial"/>
        <w:b/>
        <w:sz w:val="18"/>
        <w:szCs w:val="18"/>
      </w:rPr>
      <w:t>Ms S J Graham (DA)</w:t>
    </w:r>
    <w:r w:rsidRPr="00745B02">
      <w:rPr>
        <w:rFonts w:eastAsiaTheme="majorEastAsia" w:cs="Arial"/>
        <w:b/>
        <w:bCs/>
        <w:sz w:val="18"/>
        <w:szCs w:val="18"/>
        <w:lang w:val="en-US"/>
      </w:rPr>
      <w:tab/>
      <w:t xml:space="preserve">PAGE </w:t>
    </w:r>
    <w:r w:rsidR="005A43B4" w:rsidRPr="005A43B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5A43B4" w:rsidRPr="005A43B4">
      <w:rPr>
        <w:rFonts w:eastAsiaTheme="majorEastAsia" w:cs="Arial"/>
        <w:b/>
        <w:bCs/>
        <w:sz w:val="18"/>
        <w:szCs w:val="18"/>
        <w:lang w:val="en-US"/>
      </w:rPr>
      <w:fldChar w:fldCharType="separate"/>
    </w:r>
    <w:r w:rsidR="002C239A">
      <w:rPr>
        <w:rFonts w:eastAsiaTheme="majorEastAsia" w:cs="Arial"/>
        <w:b/>
        <w:bCs/>
        <w:noProof/>
        <w:sz w:val="18"/>
        <w:szCs w:val="18"/>
        <w:lang w:val="en-US"/>
      </w:rPr>
      <w:t>1</w:t>
    </w:r>
    <w:r w:rsidR="005A43B4" w:rsidRPr="00745B02">
      <w:rPr>
        <w:rFonts w:eastAsiaTheme="majorEastAsia" w:cs="Arial"/>
        <w:b/>
        <w:sz w:val="18"/>
        <w:szCs w:val="18"/>
      </w:rPr>
      <w:fldChar w:fldCharType="end"/>
    </w:r>
  </w:p>
  <w:p w:rsidR="00D55234" w:rsidRPr="00745B02" w:rsidRDefault="00D55234" w:rsidP="00745B02">
    <w:pPr>
      <w:pStyle w:val="Footer"/>
      <w:pBdr>
        <w:top w:val="thinThickSmallGap" w:sz="24" w:space="0" w:color="622423" w:themeColor="accent2" w:themeShade="7F"/>
      </w:pBdr>
      <w:rPr>
        <w:rFonts w:eastAsiaTheme="majorEastAsia" w:cs="Arial"/>
        <w:b/>
        <w:sz w:val="18"/>
        <w:szCs w:val="18"/>
        <w:lang w:val="en-US"/>
      </w:rPr>
    </w:pPr>
  </w:p>
  <w:p w:rsidR="00D55234" w:rsidRPr="000B4F40" w:rsidRDefault="00D552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9A" w:rsidRDefault="002C239A" w:rsidP="00B01072">
      <w:r>
        <w:separator/>
      </w:r>
    </w:p>
  </w:footnote>
  <w:footnote w:type="continuationSeparator" w:id="0">
    <w:p w:rsidR="002C239A" w:rsidRDefault="002C239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10"/>
  </w:num>
  <w:num w:numId="5">
    <w:abstractNumId w:val="0"/>
  </w:num>
  <w:num w:numId="6">
    <w:abstractNumId w:val="14"/>
  </w:num>
  <w:num w:numId="7">
    <w:abstractNumId w:val="20"/>
  </w:num>
  <w:num w:numId="8">
    <w:abstractNumId w:val="15"/>
  </w:num>
  <w:num w:numId="9">
    <w:abstractNumId w:val="22"/>
  </w:num>
  <w:num w:numId="10">
    <w:abstractNumId w:val="9"/>
  </w:num>
  <w:num w:numId="11">
    <w:abstractNumId w:val="18"/>
  </w:num>
  <w:num w:numId="12">
    <w:abstractNumId w:val="7"/>
  </w:num>
  <w:num w:numId="13">
    <w:abstractNumId w:val="16"/>
  </w:num>
  <w:num w:numId="14">
    <w:abstractNumId w:val="12"/>
  </w:num>
  <w:num w:numId="15">
    <w:abstractNumId w:val="4"/>
  </w:num>
  <w:num w:numId="16">
    <w:abstractNumId w:val="2"/>
  </w:num>
  <w:num w:numId="17">
    <w:abstractNumId w:val="1"/>
  </w:num>
  <w:num w:numId="18">
    <w:abstractNumId w:val="6"/>
  </w:num>
  <w:num w:numId="19">
    <w:abstractNumId w:val="11"/>
  </w:num>
  <w:num w:numId="20">
    <w:abstractNumId w:val="5"/>
  </w:num>
  <w:num w:numId="21">
    <w:abstractNumId w:val="21"/>
  </w:num>
  <w:num w:numId="22">
    <w:abstractNumId w:val="8"/>
  </w:num>
  <w:num w:numId="23">
    <w:abstractNumId w:val="3"/>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4328"/>
    <w:rsid w:val="000A4BA1"/>
    <w:rsid w:val="000A558F"/>
    <w:rsid w:val="000A60B2"/>
    <w:rsid w:val="000A61B0"/>
    <w:rsid w:val="000A6942"/>
    <w:rsid w:val="000A6946"/>
    <w:rsid w:val="000A7294"/>
    <w:rsid w:val="000B1923"/>
    <w:rsid w:val="000B19CD"/>
    <w:rsid w:val="000B1F88"/>
    <w:rsid w:val="000B21FD"/>
    <w:rsid w:val="000B350B"/>
    <w:rsid w:val="000B3603"/>
    <w:rsid w:val="000B4241"/>
    <w:rsid w:val="000B4AF2"/>
    <w:rsid w:val="000B4F40"/>
    <w:rsid w:val="000B5EFF"/>
    <w:rsid w:val="000C0A05"/>
    <w:rsid w:val="000C1101"/>
    <w:rsid w:val="000C1159"/>
    <w:rsid w:val="000C2724"/>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071"/>
    <w:rsid w:val="000D6AC5"/>
    <w:rsid w:val="000E0C57"/>
    <w:rsid w:val="000E216A"/>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23CC"/>
    <w:rsid w:val="00123E02"/>
    <w:rsid w:val="00123EEC"/>
    <w:rsid w:val="0012460F"/>
    <w:rsid w:val="0012628A"/>
    <w:rsid w:val="00126A48"/>
    <w:rsid w:val="00131356"/>
    <w:rsid w:val="001320E3"/>
    <w:rsid w:val="001340CE"/>
    <w:rsid w:val="001357FB"/>
    <w:rsid w:val="001372AA"/>
    <w:rsid w:val="00140E93"/>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490F"/>
    <w:rsid w:val="001F52E1"/>
    <w:rsid w:val="001F5A71"/>
    <w:rsid w:val="001F65DF"/>
    <w:rsid w:val="001F698C"/>
    <w:rsid w:val="001F6D33"/>
    <w:rsid w:val="001F7A90"/>
    <w:rsid w:val="00200E04"/>
    <w:rsid w:val="00203E0F"/>
    <w:rsid w:val="00206C11"/>
    <w:rsid w:val="00207429"/>
    <w:rsid w:val="00207F57"/>
    <w:rsid w:val="00211768"/>
    <w:rsid w:val="00211925"/>
    <w:rsid w:val="00211C78"/>
    <w:rsid w:val="00214913"/>
    <w:rsid w:val="002213B1"/>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2779"/>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239A"/>
    <w:rsid w:val="002C460A"/>
    <w:rsid w:val="002C5DDE"/>
    <w:rsid w:val="002C603A"/>
    <w:rsid w:val="002C7394"/>
    <w:rsid w:val="002C76F7"/>
    <w:rsid w:val="002D22BF"/>
    <w:rsid w:val="002D419B"/>
    <w:rsid w:val="002D5510"/>
    <w:rsid w:val="002D74C3"/>
    <w:rsid w:val="002E0582"/>
    <w:rsid w:val="002E6B86"/>
    <w:rsid w:val="002F0F2F"/>
    <w:rsid w:val="0030123E"/>
    <w:rsid w:val="003017EB"/>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5494"/>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87585"/>
    <w:rsid w:val="00591850"/>
    <w:rsid w:val="005940D1"/>
    <w:rsid w:val="005958BE"/>
    <w:rsid w:val="00596A01"/>
    <w:rsid w:val="00597330"/>
    <w:rsid w:val="005A09D6"/>
    <w:rsid w:val="005A0A0C"/>
    <w:rsid w:val="005A10D6"/>
    <w:rsid w:val="005A2CE6"/>
    <w:rsid w:val="005A4254"/>
    <w:rsid w:val="005A43B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0543"/>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887"/>
    <w:rsid w:val="00632C03"/>
    <w:rsid w:val="0063388E"/>
    <w:rsid w:val="006343C2"/>
    <w:rsid w:val="00635E80"/>
    <w:rsid w:val="00641E3A"/>
    <w:rsid w:val="006462D7"/>
    <w:rsid w:val="00646411"/>
    <w:rsid w:val="006478AE"/>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5DDD"/>
    <w:rsid w:val="007167C4"/>
    <w:rsid w:val="00716E41"/>
    <w:rsid w:val="00720B06"/>
    <w:rsid w:val="007229CC"/>
    <w:rsid w:val="007230FE"/>
    <w:rsid w:val="00725E50"/>
    <w:rsid w:val="00725FBA"/>
    <w:rsid w:val="00726E14"/>
    <w:rsid w:val="00732592"/>
    <w:rsid w:val="0073270F"/>
    <w:rsid w:val="0073322C"/>
    <w:rsid w:val="00736561"/>
    <w:rsid w:val="00737327"/>
    <w:rsid w:val="00737890"/>
    <w:rsid w:val="007400E9"/>
    <w:rsid w:val="007409D2"/>
    <w:rsid w:val="0074110B"/>
    <w:rsid w:val="00741804"/>
    <w:rsid w:val="00741CED"/>
    <w:rsid w:val="00741EE1"/>
    <w:rsid w:val="007422B3"/>
    <w:rsid w:val="00742651"/>
    <w:rsid w:val="00744844"/>
    <w:rsid w:val="007451AC"/>
    <w:rsid w:val="00745B02"/>
    <w:rsid w:val="00745E2B"/>
    <w:rsid w:val="00745F29"/>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1BDE"/>
    <w:rsid w:val="0089342B"/>
    <w:rsid w:val="00895894"/>
    <w:rsid w:val="00897581"/>
    <w:rsid w:val="00897649"/>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F177A"/>
    <w:rsid w:val="008F1F0B"/>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7ED"/>
    <w:rsid w:val="00940E46"/>
    <w:rsid w:val="00942DAF"/>
    <w:rsid w:val="0094769C"/>
    <w:rsid w:val="00951BDB"/>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0EE7"/>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3FDA"/>
    <w:rsid w:val="00A2497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70EC"/>
    <w:rsid w:val="00A9714F"/>
    <w:rsid w:val="00AA0441"/>
    <w:rsid w:val="00AA0455"/>
    <w:rsid w:val="00AA0526"/>
    <w:rsid w:val="00AA161E"/>
    <w:rsid w:val="00AA1F10"/>
    <w:rsid w:val="00AA2D8F"/>
    <w:rsid w:val="00AA3DCA"/>
    <w:rsid w:val="00AA51A2"/>
    <w:rsid w:val="00AA78D1"/>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67588"/>
    <w:rsid w:val="00B70ED4"/>
    <w:rsid w:val="00B728D7"/>
    <w:rsid w:val="00B72C9B"/>
    <w:rsid w:val="00B75DFF"/>
    <w:rsid w:val="00B76EA0"/>
    <w:rsid w:val="00B8600E"/>
    <w:rsid w:val="00B86CE7"/>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406A"/>
    <w:rsid w:val="00BF5F40"/>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75B12"/>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1778"/>
    <w:rsid w:val="00D51D6B"/>
    <w:rsid w:val="00D5362B"/>
    <w:rsid w:val="00D53CF9"/>
    <w:rsid w:val="00D54A93"/>
    <w:rsid w:val="00D54E88"/>
    <w:rsid w:val="00D55234"/>
    <w:rsid w:val="00D55C41"/>
    <w:rsid w:val="00D560FA"/>
    <w:rsid w:val="00D57905"/>
    <w:rsid w:val="00D604DC"/>
    <w:rsid w:val="00D61E9F"/>
    <w:rsid w:val="00D630C3"/>
    <w:rsid w:val="00D63126"/>
    <w:rsid w:val="00D66084"/>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2CF"/>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79"/>
    <w:rsid w:val="00E26BFD"/>
    <w:rsid w:val="00E31673"/>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B92"/>
    <w:rsid w:val="00EA3DEB"/>
    <w:rsid w:val="00EA432C"/>
    <w:rsid w:val="00EA434B"/>
    <w:rsid w:val="00EA4DBC"/>
    <w:rsid w:val="00EA691D"/>
    <w:rsid w:val="00EB25C2"/>
    <w:rsid w:val="00EB2C0B"/>
    <w:rsid w:val="00EB49D5"/>
    <w:rsid w:val="00EB4C8C"/>
    <w:rsid w:val="00EB5082"/>
    <w:rsid w:val="00EB520B"/>
    <w:rsid w:val="00EB5763"/>
    <w:rsid w:val="00EB5961"/>
    <w:rsid w:val="00EB5B2E"/>
    <w:rsid w:val="00EC1FB9"/>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2611"/>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854FE"/>
    <w:rsid w:val="00F90D48"/>
    <w:rsid w:val="00F930FA"/>
    <w:rsid w:val="00F93B82"/>
    <w:rsid w:val="00F93B85"/>
    <w:rsid w:val="00F951ED"/>
    <w:rsid w:val="00F9596F"/>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2D34"/>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A885-FBD5-478A-95AA-232ABAA0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2022-12-02T11:02:00Z</cp:lastPrinted>
  <dcterms:created xsi:type="dcterms:W3CDTF">2022-12-08T06:48:00Z</dcterms:created>
  <dcterms:modified xsi:type="dcterms:W3CDTF">2022-12-08T06:48:00Z</dcterms:modified>
</cp:coreProperties>
</file>