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C7" w:rsidRPr="001B4ED7" w:rsidRDefault="007E09C7" w:rsidP="007E09C7">
      <w:pPr>
        <w:pStyle w:val="Title"/>
        <w:rPr>
          <w:rFonts w:cs="Arial"/>
          <w:sz w:val="32"/>
          <w:szCs w:val="32"/>
        </w:rPr>
      </w:pPr>
      <w:r w:rsidRPr="001B4ED7">
        <w:rPr>
          <w:rFonts w:cs="Arial"/>
          <w:sz w:val="32"/>
          <w:szCs w:val="32"/>
        </w:rPr>
        <w:t>NATIONAL ASSEMBLY</w:t>
      </w:r>
    </w:p>
    <w:p w:rsidR="007E09C7" w:rsidRDefault="007E09C7" w:rsidP="007E09C7">
      <w:pPr>
        <w:pStyle w:val="Title"/>
        <w:jc w:val="left"/>
        <w:rPr>
          <w:rFonts w:cs="Arial"/>
          <w:sz w:val="32"/>
          <w:szCs w:val="32"/>
          <w:u w:val="single"/>
        </w:rPr>
      </w:pPr>
    </w:p>
    <w:p w:rsidR="007E09C7" w:rsidRPr="001B4ED7" w:rsidRDefault="007E09C7" w:rsidP="007E09C7">
      <w:pPr>
        <w:pStyle w:val="Title"/>
        <w:jc w:val="left"/>
        <w:rPr>
          <w:rFonts w:cs="Arial"/>
          <w:sz w:val="32"/>
          <w:szCs w:val="32"/>
          <w:u w:val="single"/>
        </w:rPr>
      </w:pPr>
      <w:r w:rsidRPr="001B4ED7">
        <w:rPr>
          <w:rFonts w:cs="Arial"/>
          <w:sz w:val="32"/>
          <w:szCs w:val="32"/>
          <w:u w:val="single"/>
        </w:rPr>
        <w:t>QUESTION NO. 4469-2022</w:t>
      </w:r>
    </w:p>
    <w:p w:rsidR="007E09C7" w:rsidRPr="00602ABF" w:rsidRDefault="007E09C7" w:rsidP="007E09C7">
      <w:pPr>
        <w:pStyle w:val="Title"/>
        <w:jc w:val="left"/>
        <w:rPr>
          <w:rFonts w:cs="Arial"/>
          <w:sz w:val="32"/>
          <w:szCs w:val="32"/>
          <w:u w:val="single"/>
        </w:rPr>
      </w:pPr>
      <w:r w:rsidRPr="001B4ED7">
        <w:rPr>
          <w:rFonts w:cs="Arial"/>
          <w:sz w:val="32"/>
          <w:szCs w:val="32"/>
          <w:u w:val="single"/>
        </w:rPr>
        <w:t>WRITTEN REPLY</w:t>
      </w:r>
    </w:p>
    <w:p w:rsidR="007E09C7" w:rsidRPr="001B4ED7" w:rsidRDefault="007E09C7" w:rsidP="007E09C7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B4ED7">
        <w:rPr>
          <w:rFonts w:ascii="Arial" w:hAnsi="Arial" w:cs="Arial"/>
          <w:b/>
          <w:sz w:val="32"/>
          <w:szCs w:val="32"/>
        </w:rPr>
        <w:t xml:space="preserve">INTERNAL QUESTION PAPER NO. 50-2022:  DATED 25 NOVEMBER 2022: </w:t>
      </w:r>
    </w:p>
    <w:p w:rsidR="007E09C7" w:rsidRPr="001B4ED7" w:rsidRDefault="007E09C7" w:rsidP="007E09C7">
      <w:pPr>
        <w:spacing w:after="0" w:line="240" w:lineRule="auto"/>
        <w:ind w:right="446"/>
        <w:jc w:val="both"/>
        <w:rPr>
          <w:rFonts w:ascii="Arial" w:hAnsi="Arial" w:cs="Arial"/>
          <w:bCs/>
          <w:color w:val="000000" w:themeColor="text1"/>
          <w:sz w:val="32"/>
          <w:szCs w:val="32"/>
        </w:rPr>
      </w:pPr>
      <w:r w:rsidRPr="00602ABF">
        <w:rPr>
          <w:rFonts w:ascii="Arial" w:hAnsi="Arial" w:cs="Arial"/>
          <w:b/>
          <w:bCs/>
          <w:color w:val="000000" w:themeColor="text1"/>
          <w:sz w:val="32"/>
          <w:szCs w:val="32"/>
        </w:rPr>
        <w:t>“Mr</w:t>
      </w:r>
      <w:r w:rsidRPr="00602ABF">
        <w:rPr>
          <w:rFonts w:ascii="Arial" w:eastAsia="Calibri" w:hAnsi="Arial" w:cs="Arial"/>
          <w:b/>
          <w:bCs/>
          <w:color w:val="000000" w:themeColor="text1"/>
          <w:sz w:val="32"/>
          <w:szCs w:val="32"/>
          <w:lang w:val="en-GB"/>
        </w:rPr>
        <w:t xml:space="preserve">s V van Dyk </w:t>
      </w:r>
      <w:r w:rsidRPr="00602ABF">
        <w:rPr>
          <w:rFonts w:ascii="Arial" w:hAnsi="Arial" w:cs="Arial"/>
          <w:b/>
          <w:bCs/>
          <w:color w:val="000000" w:themeColor="text1"/>
          <w:sz w:val="32"/>
          <w:szCs w:val="32"/>
        </w:rPr>
        <w:t>(DA) to ask the Minister of Sport, Arts and Culture</w:t>
      </w:r>
      <w:r w:rsidRPr="001B4ED7">
        <w:rPr>
          <w:rFonts w:ascii="Arial" w:hAnsi="Arial" w:cs="Arial"/>
          <w:bCs/>
          <w:color w:val="000000" w:themeColor="text1"/>
          <w:sz w:val="32"/>
          <w:szCs w:val="32"/>
        </w:rPr>
        <w:t>.</w:t>
      </w:r>
    </w:p>
    <w:p w:rsidR="007E09C7" w:rsidRPr="001B4ED7" w:rsidRDefault="007E09C7" w:rsidP="007E09C7">
      <w:pPr>
        <w:spacing w:before="100" w:beforeAutospacing="1" w:after="100" w:afterAutospacing="1" w:line="240" w:lineRule="auto"/>
        <w:ind w:left="720" w:right="446" w:hanging="720"/>
        <w:jc w:val="both"/>
        <w:rPr>
          <w:rFonts w:ascii="Arial" w:hAnsi="Arial" w:cs="Arial"/>
          <w:sz w:val="32"/>
          <w:szCs w:val="32"/>
        </w:rPr>
      </w:pPr>
      <w:r w:rsidRPr="001B4ED7">
        <w:rPr>
          <w:rFonts w:ascii="Arial" w:hAnsi="Arial" w:cs="Arial"/>
          <w:sz w:val="32"/>
          <w:szCs w:val="32"/>
        </w:rPr>
        <w:t>(1).</w:t>
      </w:r>
      <w:r w:rsidRPr="001B4ED7">
        <w:rPr>
          <w:rFonts w:ascii="Arial" w:hAnsi="Arial" w:cs="Arial"/>
          <w:sz w:val="32"/>
          <w:szCs w:val="32"/>
        </w:rPr>
        <w:tab/>
        <w:t>(a)(</w:t>
      </w:r>
      <w:proofErr w:type="spellStart"/>
      <w:r w:rsidRPr="001B4ED7">
        <w:rPr>
          <w:rFonts w:ascii="Arial" w:hAnsi="Arial" w:cs="Arial"/>
          <w:sz w:val="32"/>
          <w:szCs w:val="32"/>
        </w:rPr>
        <w:t>i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) On what date and (ii) where did his department advertise for the appointment of the service provider to conduct a feasibility study for the establishment of the </w:t>
      </w:r>
      <w:proofErr w:type="spellStart"/>
      <w:r w:rsidRPr="001B4ED7">
        <w:rPr>
          <w:rFonts w:ascii="Arial" w:hAnsi="Arial" w:cs="Arial"/>
          <w:sz w:val="32"/>
          <w:szCs w:val="32"/>
        </w:rPr>
        <w:t>Mzansi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National Philharmonic Orchestra, (b) what total number of applications were received, (c) which service provider was appointed and (d) who sat on the panel.</w:t>
      </w:r>
    </w:p>
    <w:p w:rsidR="007E09C7" w:rsidRPr="001B4ED7" w:rsidRDefault="007E09C7" w:rsidP="007E09C7">
      <w:pPr>
        <w:spacing w:before="100" w:beforeAutospacing="1" w:after="100" w:afterAutospacing="1" w:line="240" w:lineRule="auto"/>
        <w:ind w:left="720" w:right="446" w:hanging="720"/>
        <w:jc w:val="both"/>
        <w:rPr>
          <w:rFonts w:ascii="Arial" w:hAnsi="Arial" w:cs="Arial"/>
          <w:sz w:val="32"/>
          <w:szCs w:val="32"/>
        </w:rPr>
      </w:pPr>
      <w:r w:rsidRPr="001B4ED7">
        <w:rPr>
          <w:rFonts w:ascii="Arial" w:hAnsi="Arial" w:cs="Arial"/>
          <w:sz w:val="32"/>
          <w:szCs w:val="32"/>
        </w:rPr>
        <w:t>(2).</w:t>
      </w:r>
      <w:r w:rsidRPr="001B4ED7">
        <w:rPr>
          <w:rFonts w:ascii="Arial" w:hAnsi="Arial" w:cs="Arial"/>
          <w:sz w:val="32"/>
          <w:szCs w:val="32"/>
        </w:rPr>
        <w:tab/>
        <w:t xml:space="preserve">what are the terms of reference for the appointment of the service provider to conduct a feasibility study for the establishment of the </w:t>
      </w:r>
      <w:proofErr w:type="spellStart"/>
      <w:r w:rsidRPr="001B4ED7">
        <w:rPr>
          <w:rFonts w:ascii="Arial" w:hAnsi="Arial" w:cs="Arial"/>
          <w:sz w:val="32"/>
          <w:szCs w:val="32"/>
        </w:rPr>
        <w:t>Mzansi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National Philharmonic Orchestra?</w:t>
      </w:r>
      <w:r w:rsidRPr="001B4ED7">
        <w:rPr>
          <w:rFonts w:ascii="Arial" w:hAnsi="Arial" w:cs="Arial"/>
          <w:sz w:val="32"/>
          <w:szCs w:val="32"/>
        </w:rPr>
        <w:tab/>
      </w:r>
      <w:r w:rsidRPr="001B4ED7">
        <w:rPr>
          <w:rFonts w:ascii="Arial" w:hAnsi="Arial" w:cs="Arial"/>
          <w:sz w:val="32"/>
          <w:szCs w:val="32"/>
        </w:rPr>
        <w:tab/>
      </w:r>
      <w:r w:rsidRPr="001B4ED7">
        <w:rPr>
          <w:rFonts w:ascii="Arial" w:hAnsi="Arial" w:cs="Arial"/>
          <w:sz w:val="32"/>
          <w:szCs w:val="32"/>
        </w:rPr>
        <w:tab/>
      </w:r>
      <w:r w:rsidRPr="001B4ED7">
        <w:rPr>
          <w:rFonts w:ascii="Arial" w:hAnsi="Arial" w:cs="Arial"/>
          <w:sz w:val="32"/>
          <w:szCs w:val="32"/>
        </w:rPr>
        <w:tab/>
      </w:r>
      <w:r w:rsidRPr="001B4ED7">
        <w:rPr>
          <w:rFonts w:ascii="Arial" w:hAnsi="Arial" w:cs="Arial"/>
          <w:sz w:val="32"/>
          <w:szCs w:val="32"/>
        </w:rPr>
        <w:tab/>
        <w:t>NW5594E</w:t>
      </w:r>
    </w:p>
    <w:p w:rsidR="007E09C7" w:rsidRPr="001B4ED7" w:rsidRDefault="007E09C7" w:rsidP="007E09C7">
      <w:pPr>
        <w:suppressAutoHyphens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1B4ED7">
        <w:rPr>
          <w:rFonts w:ascii="Arial" w:hAnsi="Arial" w:cs="Arial"/>
          <w:b/>
          <w:sz w:val="32"/>
          <w:szCs w:val="32"/>
          <w:lang w:val="en-GB"/>
        </w:rPr>
        <w:t>REPLY:</w:t>
      </w:r>
    </w:p>
    <w:p w:rsidR="007E09C7" w:rsidRPr="001B4ED7" w:rsidRDefault="007E09C7" w:rsidP="007E09C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  <w:lang w:val="en-GB"/>
        </w:rPr>
      </w:pPr>
      <w:r w:rsidRPr="001B4ED7">
        <w:rPr>
          <w:rFonts w:ascii="Arial" w:hAnsi="Arial" w:cs="Arial"/>
          <w:color w:val="000000"/>
          <w:sz w:val="32"/>
          <w:szCs w:val="32"/>
          <w:lang w:val="en-GB"/>
        </w:rPr>
        <w:t>It is not mandatory that the Department advertises a tender for and appoint a service provider to conduct certain tasks that are needed for service delivery. A service provider is only appointed in certain special circumstances such as instances where the capacity and expertise are limited or not existing. The purpose is for the service provider to p</w:t>
      </w:r>
      <w:proofErr w:type="spellStart"/>
      <w:r w:rsidRPr="001B4ED7">
        <w:rPr>
          <w:rFonts w:ascii="Arial" w:hAnsi="Arial" w:cs="Arial"/>
          <w:color w:val="000000"/>
          <w:sz w:val="32"/>
          <w:szCs w:val="32"/>
          <w:shd w:val="clear" w:color="auto" w:fill="FFFFFF"/>
        </w:rPr>
        <w:t>rovide</w:t>
      </w:r>
      <w:proofErr w:type="spellEnd"/>
      <w:r w:rsidRPr="001B4ED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solutions and services within the scope of work and their breadth of knowledge. In this instance, a task team made of experts from the sector was appointed to provide the needed solution.</w:t>
      </w:r>
    </w:p>
    <w:p w:rsidR="007E09C7" w:rsidRPr="001B4ED7" w:rsidRDefault="007E09C7" w:rsidP="007E09C7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7E09C7" w:rsidRPr="001B4ED7" w:rsidRDefault="007E09C7" w:rsidP="007E09C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32"/>
          <w:szCs w:val="32"/>
          <w:lang w:val="en-GB"/>
        </w:rPr>
      </w:pPr>
      <w:r w:rsidRPr="001B4ED7">
        <w:rPr>
          <w:rFonts w:ascii="Arial" w:hAnsi="Arial" w:cs="Arial"/>
          <w:color w:val="000000"/>
          <w:sz w:val="32"/>
          <w:szCs w:val="32"/>
        </w:rPr>
        <w:t xml:space="preserve">The terms of reference for the task team were broadly to conduct a feasibility study for the establishment of the </w:t>
      </w:r>
      <w:proofErr w:type="spellStart"/>
      <w:r w:rsidRPr="001B4ED7">
        <w:rPr>
          <w:rFonts w:ascii="Arial" w:hAnsi="Arial" w:cs="Arial"/>
          <w:color w:val="000000"/>
          <w:sz w:val="32"/>
          <w:szCs w:val="32"/>
        </w:rPr>
        <w:t>Mzansi</w:t>
      </w:r>
      <w:proofErr w:type="spellEnd"/>
      <w:r w:rsidRPr="001B4ED7">
        <w:rPr>
          <w:rFonts w:ascii="Arial" w:hAnsi="Arial" w:cs="Arial"/>
          <w:color w:val="000000"/>
          <w:sz w:val="32"/>
          <w:szCs w:val="32"/>
        </w:rPr>
        <w:t xml:space="preserve"> National Philharmonic Orchestra and to develop a concept </w:t>
      </w:r>
      <w:r w:rsidRPr="001B4ED7">
        <w:rPr>
          <w:rFonts w:ascii="Arial" w:hAnsi="Arial" w:cs="Arial"/>
          <w:color w:val="000000"/>
          <w:sz w:val="32"/>
          <w:szCs w:val="32"/>
        </w:rPr>
        <w:lastRenderedPageBreak/>
        <w:t xml:space="preserve">document thereof. Inputs were received from all the members of the team who participated in the process. The </w:t>
      </w:r>
      <w:r w:rsidRPr="001B4ED7">
        <w:rPr>
          <w:rFonts w:ascii="Arial" w:hAnsi="Arial" w:cs="Arial"/>
          <w:sz w:val="32"/>
          <w:szCs w:val="32"/>
        </w:rPr>
        <w:t xml:space="preserve">team of experts included the following: </w:t>
      </w:r>
      <w:proofErr w:type="spellStart"/>
      <w:r w:rsidRPr="001B4ED7">
        <w:rPr>
          <w:rFonts w:ascii="Arial" w:hAnsi="Arial" w:cs="Arial"/>
          <w:sz w:val="32"/>
          <w:szCs w:val="32"/>
        </w:rPr>
        <w:t>Mr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Louis </w:t>
      </w:r>
      <w:proofErr w:type="spellStart"/>
      <w:r w:rsidRPr="001B4ED7">
        <w:rPr>
          <w:rFonts w:ascii="Arial" w:hAnsi="Arial" w:cs="Arial"/>
          <w:sz w:val="32"/>
          <w:szCs w:val="32"/>
        </w:rPr>
        <w:t>Heyneman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(CEO of the Cape Town Philharmonic Orchestra), </w:t>
      </w:r>
      <w:proofErr w:type="spellStart"/>
      <w:r w:rsidRPr="001B4ED7">
        <w:rPr>
          <w:rFonts w:ascii="Arial" w:hAnsi="Arial" w:cs="Arial"/>
          <w:sz w:val="32"/>
          <w:szCs w:val="32"/>
        </w:rPr>
        <w:t>Mr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4ED7">
        <w:rPr>
          <w:rFonts w:ascii="Arial" w:hAnsi="Arial" w:cs="Arial"/>
          <w:sz w:val="32"/>
          <w:szCs w:val="32"/>
        </w:rPr>
        <w:t>Kutlwano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4ED7">
        <w:rPr>
          <w:rFonts w:ascii="Arial" w:hAnsi="Arial" w:cs="Arial"/>
          <w:sz w:val="32"/>
          <w:szCs w:val="32"/>
        </w:rPr>
        <w:t>Masote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(Independent Educator and Conductor), </w:t>
      </w:r>
      <w:proofErr w:type="spellStart"/>
      <w:r w:rsidRPr="001B4ED7">
        <w:rPr>
          <w:rFonts w:ascii="Arial" w:hAnsi="Arial" w:cs="Arial"/>
          <w:sz w:val="32"/>
          <w:szCs w:val="32"/>
        </w:rPr>
        <w:t>Mr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4ED7">
        <w:rPr>
          <w:rFonts w:ascii="Arial" w:hAnsi="Arial" w:cs="Arial"/>
          <w:sz w:val="32"/>
          <w:szCs w:val="32"/>
        </w:rPr>
        <w:t>Lindumuzi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4ED7">
        <w:rPr>
          <w:rFonts w:ascii="Arial" w:hAnsi="Arial" w:cs="Arial"/>
          <w:sz w:val="32"/>
          <w:szCs w:val="32"/>
        </w:rPr>
        <w:t>Mngoma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(Independent Educator and Conductor), </w:t>
      </w:r>
      <w:proofErr w:type="spellStart"/>
      <w:r w:rsidRPr="001B4ED7">
        <w:rPr>
          <w:rFonts w:ascii="Arial" w:hAnsi="Arial" w:cs="Arial"/>
          <w:sz w:val="32"/>
          <w:szCs w:val="32"/>
        </w:rPr>
        <w:t>Mr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4ED7">
        <w:rPr>
          <w:rFonts w:ascii="Arial" w:hAnsi="Arial" w:cs="Arial"/>
          <w:sz w:val="32"/>
          <w:szCs w:val="32"/>
        </w:rPr>
        <w:t>Bongani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4ED7">
        <w:rPr>
          <w:rFonts w:ascii="Arial" w:hAnsi="Arial" w:cs="Arial"/>
          <w:sz w:val="32"/>
          <w:szCs w:val="32"/>
        </w:rPr>
        <w:t>Tembe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(CEO of the KZN Philharmonic Orchestra), </w:t>
      </w:r>
      <w:proofErr w:type="spellStart"/>
      <w:r w:rsidRPr="001B4ED7">
        <w:rPr>
          <w:rFonts w:ascii="Arial" w:hAnsi="Arial" w:cs="Arial"/>
          <w:sz w:val="32"/>
          <w:szCs w:val="32"/>
        </w:rPr>
        <w:t>Mr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4ED7">
        <w:rPr>
          <w:rFonts w:ascii="Arial" w:hAnsi="Arial" w:cs="Arial"/>
          <w:sz w:val="32"/>
          <w:szCs w:val="32"/>
        </w:rPr>
        <w:t>Shadrack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B4ED7">
        <w:rPr>
          <w:rFonts w:ascii="Arial" w:hAnsi="Arial" w:cs="Arial"/>
          <w:sz w:val="32"/>
          <w:szCs w:val="32"/>
        </w:rPr>
        <w:t>Bokaba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(former Acting CEO NFVF), Ms Julie </w:t>
      </w:r>
      <w:proofErr w:type="spellStart"/>
      <w:r w:rsidRPr="001B4ED7">
        <w:rPr>
          <w:rFonts w:ascii="Arial" w:hAnsi="Arial" w:cs="Arial"/>
          <w:sz w:val="32"/>
          <w:szCs w:val="32"/>
        </w:rPr>
        <w:t>Diphofa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( Acting CEO NAC), and Ms </w:t>
      </w:r>
      <w:proofErr w:type="spellStart"/>
      <w:r w:rsidRPr="001B4ED7">
        <w:rPr>
          <w:rFonts w:ascii="Arial" w:hAnsi="Arial" w:cs="Arial"/>
          <w:sz w:val="32"/>
          <w:szCs w:val="32"/>
        </w:rPr>
        <w:t>Lindi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Ngcobo (Project Manager: NAC).</w:t>
      </w:r>
    </w:p>
    <w:p w:rsidR="007E09C7" w:rsidRDefault="007E09C7" w:rsidP="007E09C7">
      <w:pPr>
        <w:spacing w:line="240" w:lineRule="auto"/>
        <w:rPr>
          <w:rFonts w:ascii="Arial" w:hAnsi="Arial" w:cs="Arial"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7E09C7" w:rsidRDefault="007E09C7" w:rsidP="007E09C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6A33F5" w:rsidRDefault="00AD37CF">
      <w:bookmarkStart w:id="0" w:name="_GoBack"/>
      <w:bookmarkEnd w:id="0"/>
    </w:p>
    <w:sectPr w:rsidR="006A33F5" w:rsidSect="0076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80F"/>
    <w:multiLevelType w:val="hybridMultilevel"/>
    <w:tmpl w:val="1CE0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E09C7"/>
    <w:rsid w:val="0076196E"/>
    <w:rsid w:val="007E09C7"/>
    <w:rsid w:val="00AD37CF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7E09C7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09C7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E09C7"/>
    <w:rPr>
      <w:rFonts w:ascii="Arial" w:eastAsia="Times New Roman" w:hAnsi="Arial" w:cs="Times New Roman"/>
      <w:b/>
      <w:szCs w:val="20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E0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2023-01-17T11:21:00Z</dcterms:created>
  <dcterms:modified xsi:type="dcterms:W3CDTF">2023-01-17T11:21:00Z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3b9567ae-d3e6-40f0-af44-64d26b79e0ab</vt:lpwstr>
  </property>
</Properties>
</file>