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965688"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506171">
        <w:rPr>
          <w:u w:val="none"/>
        </w:rPr>
        <w:t>4</w:t>
      </w:r>
      <w:r w:rsidR="00136BDB">
        <w:rPr>
          <w:u w:val="none"/>
        </w:rPr>
        <w:t>45</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F52968">
        <w:rPr>
          <w:rFonts w:ascii="Arial" w:hAnsi="Arial" w:cs="Arial"/>
          <w:b/>
          <w:bCs/>
        </w:rPr>
        <w:t>Friday</w:t>
      </w:r>
      <w:r w:rsidR="00934463">
        <w:rPr>
          <w:rFonts w:ascii="Arial" w:hAnsi="Arial" w:cs="Arial"/>
          <w:b/>
          <w:bCs/>
        </w:rPr>
        <w:t xml:space="preserve">, </w:t>
      </w:r>
      <w:r w:rsidR="00216F16">
        <w:rPr>
          <w:rFonts w:ascii="Arial" w:hAnsi="Arial" w:cs="Arial"/>
          <w:b/>
          <w:bCs/>
        </w:rPr>
        <w:t>26</w:t>
      </w:r>
      <w:r w:rsidR="00F52968">
        <w:rPr>
          <w:rFonts w:ascii="Arial" w:hAnsi="Arial" w:cs="Arial"/>
          <w:b/>
          <w:bCs/>
        </w:rPr>
        <w:t xml:space="preserve"> </w:t>
      </w:r>
      <w:r w:rsidR="001B2CD7">
        <w:rPr>
          <w:rFonts w:ascii="Arial" w:hAnsi="Arial" w:cs="Arial"/>
          <w:b/>
          <w:bCs/>
        </w:rPr>
        <w:t>February 2016</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216F16">
        <w:rPr>
          <w:u w:val="none"/>
        </w:rPr>
        <w:t>4</w:t>
      </w:r>
      <w:r w:rsidR="001B2CD7">
        <w:rPr>
          <w:u w:val="none"/>
        </w:rPr>
        <w:t xml:space="preserve"> </w:t>
      </w:r>
      <w:r>
        <w:rPr>
          <w:u w:val="none"/>
        </w:rPr>
        <w:t>OF 201</w:t>
      </w:r>
      <w:r w:rsidR="001B2CD7">
        <w:rPr>
          <w:u w:val="none"/>
        </w:rPr>
        <w:t>6</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934463" w:rsidRDefault="00136BDB" w:rsidP="00A80D28">
      <w:pPr>
        <w:spacing w:line="320" w:lineRule="exact"/>
        <w:jc w:val="both"/>
        <w:rPr>
          <w:rFonts w:ascii="Arial" w:hAnsi="Arial" w:cs="Arial"/>
          <w:b/>
          <w:lang w:val="en-US"/>
        </w:rPr>
      </w:pPr>
      <w:r w:rsidRPr="00136BDB">
        <w:rPr>
          <w:rFonts w:ascii="Arial" w:hAnsi="Arial" w:cs="Arial"/>
          <w:b/>
          <w:lang w:val="en-US"/>
        </w:rPr>
        <w:t>445.</w:t>
      </w:r>
      <w:r w:rsidRPr="00136BDB">
        <w:rPr>
          <w:rFonts w:ascii="Arial" w:hAnsi="Arial" w:cs="Arial"/>
          <w:b/>
          <w:lang w:val="en-US"/>
        </w:rPr>
        <w:tab/>
        <w:t>Mr W M Madisha (Cope) to ask the Minister of Home Affairs</w:t>
      </w:r>
      <w:r w:rsidR="00596F85" w:rsidRPr="00596F85">
        <w:rPr>
          <w:rFonts w:ascii="Arial" w:hAnsi="Arial" w:cs="Arial"/>
          <w:b/>
          <w:lang w:val="en-US"/>
        </w:rPr>
        <w:t>:</w:t>
      </w:r>
    </w:p>
    <w:p w:rsidR="00596F85" w:rsidRDefault="00596F85" w:rsidP="00A80D28">
      <w:pPr>
        <w:spacing w:line="320" w:lineRule="exact"/>
        <w:jc w:val="both"/>
        <w:rPr>
          <w:rFonts w:ascii="Arial" w:hAnsi="Arial" w:cs="Arial"/>
          <w:lang w:val="en-US"/>
        </w:rPr>
      </w:pPr>
    </w:p>
    <w:p w:rsidR="003D4C96" w:rsidRDefault="00136BDB" w:rsidP="00136BDB">
      <w:pPr>
        <w:spacing w:line="320" w:lineRule="exact"/>
        <w:jc w:val="both"/>
        <w:rPr>
          <w:rFonts w:ascii="Arial" w:hAnsi="Arial" w:cs="Arial"/>
          <w:lang w:val="en-US"/>
        </w:rPr>
      </w:pPr>
      <w:r w:rsidRPr="00136BDB">
        <w:rPr>
          <w:rFonts w:ascii="Arial" w:hAnsi="Arial" w:cs="Arial"/>
          <w:lang w:val="en-US"/>
        </w:rPr>
        <w:t>Whether his department is proactively ensuring that in accordance with the ruling of the Constitutional Court the Electoral Commission will be in a position to draw up voters’ rolls for the local government elections this year where the valid addresses of all registered voters will appear as required; if not, why not; if so, what steps are being taken by his department, in conjunction with the Department of Cooperative Governance and Traditional Affairs, to ensure that wards in informal settlements in particular have identifiable and officially recognised street names and house numbers?</w:t>
      </w:r>
      <w:r w:rsidRPr="00136BDB">
        <w:rPr>
          <w:rFonts w:ascii="Arial" w:hAnsi="Arial" w:cs="Arial"/>
          <w:lang w:val="en-US"/>
        </w:rPr>
        <w:tab/>
      </w:r>
      <w:r w:rsidRPr="00136BDB">
        <w:rPr>
          <w:rFonts w:ascii="Arial" w:hAnsi="Arial" w:cs="Arial"/>
          <w:lang w:val="en-US"/>
        </w:rPr>
        <w:tab/>
      </w:r>
      <w:r w:rsidRPr="00136BDB">
        <w:rPr>
          <w:rFonts w:ascii="Arial" w:hAnsi="Arial" w:cs="Arial"/>
          <w:lang w:val="en-US"/>
        </w:rPr>
        <w:tab/>
      </w:r>
      <w:r w:rsidRPr="00136BDB">
        <w:rPr>
          <w:rFonts w:ascii="Arial" w:hAnsi="Arial" w:cs="Arial"/>
          <w:lang w:val="en-US"/>
        </w:rPr>
        <w:tab/>
      </w:r>
      <w:r w:rsidRPr="00136BDB">
        <w:rPr>
          <w:rFonts w:ascii="Arial" w:hAnsi="Arial" w:cs="Arial"/>
          <w:lang w:val="en-US"/>
        </w:rPr>
        <w:tab/>
      </w:r>
      <w:r w:rsidRPr="00136BDB">
        <w:rPr>
          <w:rFonts w:ascii="Arial" w:hAnsi="Arial" w:cs="Arial"/>
          <w:lang w:val="en-US"/>
        </w:rPr>
        <w:tab/>
      </w:r>
      <w:r w:rsidRPr="00136BDB">
        <w:rPr>
          <w:rFonts w:ascii="Arial" w:hAnsi="Arial" w:cs="Arial"/>
          <w:lang w:val="en-US"/>
        </w:rPr>
        <w:tab/>
      </w:r>
      <w:r w:rsidRPr="00136BDB">
        <w:rPr>
          <w:rFonts w:ascii="Arial" w:hAnsi="Arial" w:cs="Arial"/>
          <w:lang w:val="en-US"/>
        </w:rPr>
        <w:tab/>
      </w:r>
      <w:r w:rsidRPr="00136BDB">
        <w:rPr>
          <w:rFonts w:ascii="Arial" w:hAnsi="Arial" w:cs="Arial"/>
          <w:lang w:val="en-US"/>
        </w:rPr>
        <w:tab/>
      </w:r>
      <w:r w:rsidRPr="00136BDB">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136BDB">
        <w:rPr>
          <w:rFonts w:ascii="Arial" w:hAnsi="Arial" w:cs="Arial"/>
          <w:lang w:val="en-US"/>
        </w:rPr>
        <w:t>NW499E</w:t>
      </w:r>
    </w:p>
    <w:p w:rsidR="00216F16" w:rsidRDefault="00216F16" w:rsidP="003D4C96">
      <w:pPr>
        <w:spacing w:line="320" w:lineRule="exact"/>
        <w:ind w:left="709" w:hanging="709"/>
        <w:jc w:val="both"/>
        <w:rPr>
          <w:rFonts w:ascii="Arial" w:hAnsi="Arial" w:cs="Arial"/>
          <w:b/>
        </w:rPr>
      </w:pPr>
    </w:p>
    <w:p w:rsidR="00FF55EE" w:rsidRDefault="00FF55EE" w:rsidP="003D4C96">
      <w:pPr>
        <w:spacing w:line="320" w:lineRule="exact"/>
        <w:ind w:left="709" w:hanging="709"/>
        <w:jc w:val="both"/>
        <w:rPr>
          <w:rFonts w:ascii="Arial" w:hAnsi="Arial" w:cs="Arial"/>
          <w:b/>
        </w:rPr>
      </w:pPr>
      <w:r w:rsidRPr="009357F9">
        <w:rPr>
          <w:rFonts w:ascii="Arial" w:hAnsi="Arial" w:cs="Arial"/>
          <w:b/>
        </w:rPr>
        <w:t>REPLY:</w:t>
      </w:r>
    </w:p>
    <w:p w:rsidR="007D624A" w:rsidRDefault="007D624A" w:rsidP="003D4C96">
      <w:pPr>
        <w:spacing w:line="320" w:lineRule="exact"/>
        <w:ind w:left="709" w:hanging="709"/>
        <w:jc w:val="both"/>
        <w:rPr>
          <w:rFonts w:ascii="Arial" w:hAnsi="Arial" w:cs="Arial"/>
          <w:b/>
        </w:rPr>
      </w:pPr>
    </w:p>
    <w:p w:rsidR="007D624A" w:rsidRDefault="007D624A" w:rsidP="00203A92">
      <w:pPr>
        <w:spacing w:line="320" w:lineRule="exact"/>
        <w:jc w:val="both"/>
        <w:rPr>
          <w:rFonts w:ascii="Arial" w:hAnsi="Arial" w:cs="Arial"/>
        </w:rPr>
      </w:pPr>
      <w:r>
        <w:rPr>
          <w:rFonts w:ascii="Arial" w:hAnsi="Arial" w:cs="Arial"/>
        </w:rPr>
        <w:t xml:space="preserve">The order of the </w:t>
      </w:r>
      <w:smartTag w:uri="urn:schemas-microsoft-com:office:smarttags" w:element="Street">
        <w:smartTag w:uri="urn:schemas-microsoft-com:office:smarttags" w:element="address">
          <w:r>
            <w:rPr>
              <w:rFonts w:ascii="Arial" w:hAnsi="Arial" w:cs="Arial"/>
            </w:rPr>
            <w:t>Constitutional Court</w:t>
          </w:r>
        </w:smartTag>
      </w:smartTag>
      <w:r>
        <w:rPr>
          <w:rFonts w:ascii="Arial" w:hAnsi="Arial" w:cs="Arial"/>
        </w:rPr>
        <w:t xml:space="preserve"> directs the Electoral Commission to provide a </w:t>
      </w:r>
      <w:r w:rsidRPr="007D624A">
        <w:rPr>
          <w:rFonts w:ascii="Arial" w:hAnsi="Arial" w:cs="Arial"/>
        </w:rPr>
        <w:t>voters</w:t>
      </w:r>
      <w:r>
        <w:rPr>
          <w:rFonts w:ascii="Arial" w:hAnsi="Arial" w:cs="Arial"/>
        </w:rPr>
        <w:t xml:space="preserve">’ roll with addresses to political parties contesting elections where such addresses are available. This order affirms a standing statutory provision in section 16 (3) of the Electoral Act (27 of 1998) </w:t>
      </w:r>
      <w:r w:rsidR="00B47451">
        <w:rPr>
          <w:rFonts w:ascii="Arial" w:hAnsi="Arial" w:cs="Arial"/>
        </w:rPr>
        <w:t xml:space="preserve">which </w:t>
      </w:r>
      <w:r>
        <w:rPr>
          <w:rFonts w:ascii="Arial" w:hAnsi="Arial" w:cs="Arial"/>
        </w:rPr>
        <w:t xml:space="preserve">provides as follows: </w:t>
      </w:r>
    </w:p>
    <w:p w:rsidR="007D624A" w:rsidRDefault="007D624A" w:rsidP="00203A92">
      <w:pPr>
        <w:spacing w:line="320" w:lineRule="exact"/>
        <w:jc w:val="both"/>
        <w:rPr>
          <w:rFonts w:ascii="Arial" w:hAnsi="Arial" w:cs="Arial"/>
          <w:b/>
          <w:i/>
        </w:rPr>
      </w:pPr>
      <w:r>
        <w:rPr>
          <w:rFonts w:ascii="Arial" w:hAnsi="Arial" w:cs="Arial"/>
        </w:rPr>
        <w:tab/>
        <w:t xml:space="preserve">“…………………., </w:t>
      </w:r>
      <w:r w:rsidRPr="007D624A">
        <w:rPr>
          <w:rFonts w:ascii="Arial" w:hAnsi="Arial" w:cs="Arial"/>
          <w:i/>
        </w:rPr>
        <w:t xml:space="preserve">the chief electoral </w:t>
      </w:r>
      <w:r>
        <w:rPr>
          <w:rFonts w:ascii="Arial" w:hAnsi="Arial" w:cs="Arial"/>
          <w:i/>
        </w:rPr>
        <w:t xml:space="preserve">officer must, on payment of the prescribed fee, provide copies of the voters’ roll or a segment thereof, which includes the addresses of voters, </w:t>
      </w:r>
      <w:r>
        <w:rPr>
          <w:rFonts w:ascii="Arial" w:hAnsi="Arial" w:cs="Arial"/>
          <w:b/>
          <w:i/>
        </w:rPr>
        <w:t xml:space="preserve">where such addresses are available, </w:t>
      </w:r>
      <w:r>
        <w:rPr>
          <w:rFonts w:ascii="Arial" w:hAnsi="Arial" w:cs="Arial"/>
          <w:i/>
        </w:rPr>
        <w:t>to all registered parties contesting the elections.”</w:t>
      </w:r>
      <w:r>
        <w:rPr>
          <w:rFonts w:ascii="Arial" w:hAnsi="Arial" w:cs="Arial"/>
          <w:b/>
          <w:i/>
        </w:rPr>
        <w:t xml:space="preserve"> </w:t>
      </w:r>
    </w:p>
    <w:p w:rsidR="007D624A" w:rsidRDefault="007D624A" w:rsidP="003D4C96">
      <w:pPr>
        <w:spacing w:line="320" w:lineRule="exact"/>
        <w:ind w:left="709" w:hanging="709"/>
        <w:jc w:val="both"/>
        <w:rPr>
          <w:rFonts w:ascii="Arial" w:hAnsi="Arial" w:cs="Arial"/>
          <w:b/>
          <w:i/>
        </w:rPr>
      </w:pPr>
    </w:p>
    <w:p w:rsidR="007D624A" w:rsidRDefault="007D624A" w:rsidP="00203A92">
      <w:pPr>
        <w:spacing w:line="320" w:lineRule="exact"/>
        <w:jc w:val="both"/>
        <w:rPr>
          <w:rFonts w:ascii="Arial" w:hAnsi="Arial" w:cs="Arial"/>
        </w:rPr>
      </w:pPr>
      <w:r>
        <w:rPr>
          <w:rFonts w:ascii="Arial" w:hAnsi="Arial" w:cs="Arial"/>
        </w:rPr>
        <w:t xml:space="preserve">Therefore the </w:t>
      </w:r>
      <w:r w:rsidR="00EE7430">
        <w:rPr>
          <w:rFonts w:ascii="Arial" w:hAnsi="Arial" w:cs="Arial"/>
        </w:rPr>
        <w:t>judicial and statutory dependency</w:t>
      </w:r>
      <w:r>
        <w:rPr>
          <w:rFonts w:ascii="Arial" w:hAnsi="Arial" w:cs="Arial"/>
        </w:rPr>
        <w:t xml:space="preserve"> to</w:t>
      </w:r>
      <w:r w:rsidR="00EE7430">
        <w:rPr>
          <w:rFonts w:ascii="Arial" w:hAnsi="Arial" w:cs="Arial"/>
        </w:rPr>
        <w:t xml:space="preserve"> the</w:t>
      </w:r>
      <w:r>
        <w:rPr>
          <w:rFonts w:ascii="Arial" w:hAnsi="Arial" w:cs="Arial"/>
        </w:rPr>
        <w:t xml:space="preserve"> provi</w:t>
      </w:r>
      <w:r w:rsidR="00EE7430">
        <w:rPr>
          <w:rFonts w:ascii="Arial" w:hAnsi="Arial" w:cs="Arial"/>
        </w:rPr>
        <w:t>sion of</w:t>
      </w:r>
      <w:r>
        <w:rPr>
          <w:rFonts w:ascii="Arial" w:hAnsi="Arial" w:cs="Arial"/>
        </w:rPr>
        <w:t xml:space="preserve"> a voters’ roll with addresses to contesting parties</w:t>
      </w:r>
      <w:r w:rsidR="00EE7430">
        <w:rPr>
          <w:rFonts w:ascii="Arial" w:hAnsi="Arial" w:cs="Arial"/>
        </w:rPr>
        <w:t xml:space="preserve"> is where such addresses are available.</w:t>
      </w:r>
    </w:p>
    <w:p w:rsidR="00EE7430" w:rsidRDefault="00EE7430" w:rsidP="00203A92">
      <w:pPr>
        <w:spacing w:line="320" w:lineRule="exact"/>
        <w:jc w:val="both"/>
        <w:rPr>
          <w:rFonts w:ascii="Arial" w:hAnsi="Arial" w:cs="Arial"/>
        </w:rPr>
      </w:pPr>
    </w:p>
    <w:p w:rsidR="00EE7430" w:rsidRDefault="00EE7430" w:rsidP="00203A92">
      <w:pPr>
        <w:spacing w:line="320" w:lineRule="exact"/>
        <w:jc w:val="both"/>
        <w:rPr>
          <w:rFonts w:ascii="Arial" w:hAnsi="Arial" w:cs="Arial"/>
        </w:rPr>
      </w:pPr>
      <w:r>
        <w:rPr>
          <w:rFonts w:ascii="Arial" w:hAnsi="Arial" w:cs="Arial"/>
        </w:rPr>
        <w:t>The Electoral Commission has nonetheless, taken a decision to proactively procure addresses of voters where such are not on their records. In this regard, a number of initiatives are either underway or about to be implemented. I presented below some of these initiatives:</w:t>
      </w:r>
    </w:p>
    <w:p w:rsidR="00EE7430" w:rsidRDefault="00EE7430" w:rsidP="003D4C96">
      <w:pPr>
        <w:spacing w:line="320" w:lineRule="exact"/>
        <w:ind w:left="709" w:hanging="709"/>
        <w:jc w:val="both"/>
        <w:rPr>
          <w:rFonts w:ascii="Arial" w:hAnsi="Arial" w:cs="Arial"/>
        </w:rPr>
      </w:pPr>
    </w:p>
    <w:p w:rsidR="00B47451" w:rsidRDefault="00B47451" w:rsidP="00EE7430">
      <w:pPr>
        <w:numPr>
          <w:ilvl w:val="0"/>
          <w:numId w:val="36"/>
        </w:numPr>
        <w:spacing w:line="320" w:lineRule="exact"/>
        <w:jc w:val="both"/>
        <w:rPr>
          <w:rFonts w:ascii="Arial" w:hAnsi="Arial" w:cs="Arial"/>
        </w:rPr>
      </w:pPr>
      <w:r>
        <w:rPr>
          <w:rFonts w:ascii="Arial" w:hAnsi="Arial" w:cs="Arial"/>
        </w:rPr>
        <w:t xml:space="preserve">A communication campaign was initiated in the period leading up to the voter registration weekend of 5-6 March 2016, for all voters to inspect the voters’ roll with a particular focus on the address details and providing same necessary; </w:t>
      </w:r>
    </w:p>
    <w:p w:rsidR="00EE7430" w:rsidRDefault="00EE7430" w:rsidP="00EE7430">
      <w:pPr>
        <w:numPr>
          <w:ilvl w:val="0"/>
          <w:numId w:val="36"/>
        </w:numPr>
        <w:spacing w:line="320" w:lineRule="exact"/>
        <w:jc w:val="both"/>
        <w:rPr>
          <w:rFonts w:ascii="Arial" w:hAnsi="Arial" w:cs="Arial"/>
        </w:rPr>
      </w:pPr>
      <w:r>
        <w:rPr>
          <w:rFonts w:ascii="Arial" w:hAnsi="Arial" w:cs="Arial"/>
        </w:rPr>
        <w:t>Re-focusing the communication campaign for the second registration weekend on the 9-10 April to highlight the need for voters to furnish addresses</w:t>
      </w:r>
      <w:r w:rsidR="004470B8">
        <w:rPr>
          <w:rFonts w:ascii="Arial" w:hAnsi="Arial" w:cs="Arial"/>
        </w:rPr>
        <w:t xml:space="preserve"> at the registration stations</w:t>
      </w:r>
      <w:r w:rsidR="00B47451">
        <w:rPr>
          <w:rFonts w:ascii="Arial" w:hAnsi="Arial" w:cs="Arial"/>
        </w:rPr>
        <w:t>;</w:t>
      </w:r>
    </w:p>
    <w:p w:rsidR="00EE7430" w:rsidRDefault="00B47451" w:rsidP="00EE7430">
      <w:pPr>
        <w:numPr>
          <w:ilvl w:val="0"/>
          <w:numId w:val="36"/>
        </w:numPr>
        <w:spacing w:line="320" w:lineRule="exact"/>
        <w:jc w:val="both"/>
        <w:rPr>
          <w:rFonts w:ascii="Arial" w:hAnsi="Arial" w:cs="Arial"/>
        </w:rPr>
      </w:pPr>
      <w:r>
        <w:rPr>
          <w:rFonts w:ascii="Arial" w:hAnsi="Arial" w:cs="Arial"/>
        </w:rPr>
        <w:t>Procuring address</w:t>
      </w:r>
      <w:r w:rsidR="00EE7430">
        <w:rPr>
          <w:rFonts w:ascii="Arial" w:hAnsi="Arial" w:cs="Arial"/>
        </w:rPr>
        <w:t xml:space="preserve"> data from a variety of data sources such as municipalities, other </w:t>
      </w:r>
      <w:r w:rsidR="004470B8">
        <w:rPr>
          <w:rFonts w:ascii="Arial" w:hAnsi="Arial" w:cs="Arial"/>
        </w:rPr>
        <w:t xml:space="preserve">state </w:t>
      </w:r>
      <w:r w:rsidR="00EE7430">
        <w:rPr>
          <w:rFonts w:ascii="Arial" w:hAnsi="Arial" w:cs="Arial"/>
        </w:rPr>
        <w:t>ag</w:t>
      </w:r>
      <w:r w:rsidR="004470B8">
        <w:rPr>
          <w:rFonts w:ascii="Arial" w:hAnsi="Arial" w:cs="Arial"/>
        </w:rPr>
        <w:t>encies and commercial providers</w:t>
      </w:r>
      <w:r>
        <w:rPr>
          <w:rFonts w:ascii="Arial" w:hAnsi="Arial" w:cs="Arial"/>
        </w:rPr>
        <w:t>;</w:t>
      </w:r>
    </w:p>
    <w:p w:rsidR="00EE7430" w:rsidRDefault="004470B8" w:rsidP="00EE7430">
      <w:pPr>
        <w:numPr>
          <w:ilvl w:val="0"/>
          <w:numId w:val="36"/>
        </w:numPr>
        <w:spacing w:line="320" w:lineRule="exact"/>
        <w:jc w:val="both"/>
        <w:rPr>
          <w:rFonts w:ascii="Arial" w:hAnsi="Arial" w:cs="Arial"/>
        </w:rPr>
      </w:pPr>
      <w:r>
        <w:rPr>
          <w:rFonts w:ascii="Arial" w:hAnsi="Arial" w:cs="Arial"/>
        </w:rPr>
        <w:t>Changing the response message on the Short Message System (SMS</w:t>
      </w:r>
      <w:r w:rsidR="00B47451">
        <w:rPr>
          <w:rFonts w:ascii="Arial" w:hAnsi="Arial" w:cs="Arial"/>
        </w:rPr>
        <w:t xml:space="preserve"> - 32810</w:t>
      </w:r>
      <w:r>
        <w:rPr>
          <w:rFonts w:ascii="Arial" w:hAnsi="Arial" w:cs="Arial"/>
        </w:rPr>
        <w:t>) to indicat</w:t>
      </w:r>
      <w:r w:rsidR="00B47451">
        <w:rPr>
          <w:rFonts w:ascii="Arial" w:hAnsi="Arial" w:cs="Arial"/>
        </w:rPr>
        <w:t>e to voters to furnish address</w:t>
      </w:r>
      <w:r>
        <w:rPr>
          <w:rFonts w:ascii="Arial" w:hAnsi="Arial" w:cs="Arial"/>
        </w:rPr>
        <w:t xml:space="preserve"> details where such are not on the records of the Electoral Commission</w:t>
      </w:r>
      <w:r w:rsidR="00B47451">
        <w:rPr>
          <w:rFonts w:ascii="Arial" w:hAnsi="Arial" w:cs="Arial"/>
        </w:rPr>
        <w:t>; and</w:t>
      </w:r>
    </w:p>
    <w:p w:rsidR="004470B8" w:rsidRDefault="00A025FA" w:rsidP="00EE7430">
      <w:pPr>
        <w:numPr>
          <w:ilvl w:val="0"/>
          <w:numId w:val="36"/>
        </w:numPr>
        <w:spacing w:line="320" w:lineRule="exact"/>
        <w:jc w:val="both"/>
        <w:rPr>
          <w:rFonts w:ascii="Arial" w:hAnsi="Arial" w:cs="Arial"/>
        </w:rPr>
      </w:pPr>
      <w:r>
        <w:rPr>
          <w:rFonts w:ascii="Arial" w:hAnsi="Arial" w:cs="Arial"/>
        </w:rPr>
        <w:t>Conducting a voting district based field work to visit persons whose addresses details are not on record</w:t>
      </w:r>
      <w:r w:rsidR="00B47451">
        <w:rPr>
          <w:rFonts w:ascii="Arial" w:hAnsi="Arial" w:cs="Arial"/>
        </w:rPr>
        <w:t>.</w:t>
      </w:r>
    </w:p>
    <w:p w:rsidR="00A025FA" w:rsidRDefault="00A025FA" w:rsidP="00A025FA">
      <w:pPr>
        <w:spacing w:line="320" w:lineRule="exact"/>
        <w:ind w:left="720"/>
        <w:jc w:val="both"/>
        <w:rPr>
          <w:rFonts w:ascii="Arial" w:hAnsi="Arial" w:cs="Arial"/>
        </w:rPr>
      </w:pPr>
    </w:p>
    <w:p w:rsidR="00EE7430" w:rsidRPr="007D624A" w:rsidRDefault="00EE7430" w:rsidP="003D4C96">
      <w:pPr>
        <w:spacing w:line="320" w:lineRule="exact"/>
        <w:ind w:left="709" w:hanging="709"/>
        <w:jc w:val="both"/>
        <w:rPr>
          <w:rFonts w:ascii="Arial" w:hAnsi="Arial" w:cs="Arial"/>
        </w:rPr>
      </w:pPr>
    </w:p>
    <w:sectPr w:rsidR="00EE7430" w:rsidRPr="007D624A" w:rsidSect="003D4C96">
      <w:headerReference w:type="even" r:id="rId8"/>
      <w:headerReference w:type="default" r:id="rId9"/>
      <w:pgSz w:w="11907" w:h="16839" w:code="9"/>
      <w:pgMar w:top="568" w:right="1800" w:bottom="70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210" w:rsidRDefault="00671210">
      <w:r>
        <w:separator/>
      </w:r>
    </w:p>
  </w:endnote>
  <w:endnote w:type="continuationSeparator" w:id="0">
    <w:p w:rsidR="00671210" w:rsidRDefault="006712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210" w:rsidRDefault="00671210">
      <w:r>
        <w:separator/>
      </w:r>
    </w:p>
  </w:footnote>
  <w:footnote w:type="continuationSeparator" w:id="0">
    <w:p w:rsidR="00671210" w:rsidRDefault="006712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5688">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6">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9">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2">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7">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E364CE4"/>
    <w:multiLevelType w:val="hybridMultilevel"/>
    <w:tmpl w:val="25EE64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1">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3"/>
  </w:num>
  <w:num w:numId="3">
    <w:abstractNumId w:val="14"/>
  </w:num>
  <w:num w:numId="4">
    <w:abstractNumId w:val="18"/>
  </w:num>
  <w:num w:numId="5">
    <w:abstractNumId w:val="3"/>
  </w:num>
  <w:num w:numId="6">
    <w:abstractNumId w:val="17"/>
  </w:num>
  <w:num w:numId="7">
    <w:abstractNumId w:val="27"/>
  </w:num>
  <w:num w:numId="8">
    <w:abstractNumId w:val="33"/>
  </w:num>
  <w:num w:numId="9">
    <w:abstractNumId w:val="10"/>
  </w:num>
  <w:num w:numId="10">
    <w:abstractNumId w:val="31"/>
  </w:num>
  <w:num w:numId="11">
    <w:abstractNumId w:val="13"/>
  </w:num>
  <w:num w:numId="12">
    <w:abstractNumId w:val="6"/>
  </w:num>
  <w:num w:numId="13">
    <w:abstractNumId w:val="21"/>
  </w:num>
  <w:num w:numId="14">
    <w:abstractNumId w:val="30"/>
  </w:num>
  <w:num w:numId="15">
    <w:abstractNumId w:val="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2"/>
  </w:num>
  <w:num w:numId="19">
    <w:abstractNumId w:val="26"/>
  </w:num>
  <w:num w:numId="20">
    <w:abstractNumId w:val="9"/>
  </w:num>
  <w:num w:numId="21">
    <w:abstractNumId w:val="24"/>
  </w:num>
  <w:num w:numId="22">
    <w:abstractNumId w:val="0"/>
  </w:num>
  <w:num w:numId="23">
    <w:abstractNumId w:val="8"/>
  </w:num>
  <w:num w:numId="24">
    <w:abstractNumId w:val="29"/>
  </w:num>
  <w:num w:numId="25">
    <w:abstractNumId w:val="4"/>
  </w:num>
  <w:num w:numId="26">
    <w:abstractNumId w:val="15"/>
  </w:num>
  <w:num w:numId="27">
    <w:abstractNumId w:val="20"/>
  </w:num>
  <w:num w:numId="28">
    <w:abstractNumId w:val="12"/>
  </w:num>
  <w:num w:numId="29">
    <w:abstractNumId w:val="25"/>
  </w:num>
  <w:num w:numId="30">
    <w:abstractNumId w:val="16"/>
  </w:num>
  <w:num w:numId="31">
    <w:abstractNumId w:val="7"/>
  </w:num>
  <w:num w:numId="32">
    <w:abstractNumId w:val="11"/>
  </w:num>
  <w:num w:numId="33">
    <w:abstractNumId w:val="19"/>
  </w:num>
  <w:num w:numId="34">
    <w:abstractNumId w:val="32"/>
  </w:num>
  <w:num w:numId="35">
    <w:abstractNumId w:val="1"/>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28D0"/>
    <w:rsid w:val="000138A2"/>
    <w:rsid w:val="000139AD"/>
    <w:rsid w:val="00013DD4"/>
    <w:rsid w:val="00013EBD"/>
    <w:rsid w:val="000144B0"/>
    <w:rsid w:val="0001582A"/>
    <w:rsid w:val="000162C5"/>
    <w:rsid w:val="000164A9"/>
    <w:rsid w:val="00017429"/>
    <w:rsid w:val="000174A8"/>
    <w:rsid w:val="0001792C"/>
    <w:rsid w:val="00020418"/>
    <w:rsid w:val="00022BBD"/>
    <w:rsid w:val="00023698"/>
    <w:rsid w:val="00023E42"/>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F03"/>
    <w:rsid w:val="00057534"/>
    <w:rsid w:val="00060442"/>
    <w:rsid w:val="0006092E"/>
    <w:rsid w:val="0006102C"/>
    <w:rsid w:val="00061DB6"/>
    <w:rsid w:val="000626C6"/>
    <w:rsid w:val="000653C3"/>
    <w:rsid w:val="000655AC"/>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1E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2DDA"/>
    <w:rsid w:val="000C41B8"/>
    <w:rsid w:val="000C4593"/>
    <w:rsid w:val="000C52C8"/>
    <w:rsid w:val="000C6686"/>
    <w:rsid w:val="000C7739"/>
    <w:rsid w:val="000D00B2"/>
    <w:rsid w:val="000D0CD3"/>
    <w:rsid w:val="000D1150"/>
    <w:rsid w:val="000D1577"/>
    <w:rsid w:val="000D1AFC"/>
    <w:rsid w:val="000D3A31"/>
    <w:rsid w:val="000D3A40"/>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C8A"/>
    <w:rsid w:val="0013337E"/>
    <w:rsid w:val="0013348D"/>
    <w:rsid w:val="00134A87"/>
    <w:rsid w:val="001354FF"/>
    <w:rsid w:val="001361EE"/>
    <w:rsid w:val="00136BDB"/>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3A9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260B"/>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A6CD4"/>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34B6"/>
    <w:rsid w:val="003B5FA2"/>
    <w:rsid w:val="003B7B1A"/>
    <w:rsid w:val="003C179A"/>
    <w:rsid w:val="003C4278"/>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9D9"/>
    <w:rsid w:val="0044655E"/>
    <w:rsid w:val="004468E7"/>
    <w:rsid w:val="00446982"/>
    <w:rsid w:val="00446C96"/>
    <w:rsid w:val="004470B8"/>
    <w:rsid w:val="00450CC2"/>
    <w:rsid w:val="00451F97"/>
    <w:rsid w:val="004531C7"/>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C5"/>
    <w:rsid w:val="005478B7"/>
    <w:rsid w:val="00550147"/>
    <w:rsid w:val="00550816"/>
    <w:rsid w:val="00550ACF"/>
    <w:rsid w:val="00550ECB"/>
    <w:rsid w:val="00552715"/>
    <w:rsid w:val="00553626"/>
    <w:rsid w:val="00553E06"/>
    <w:rsid w:val="005553B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D7224"/>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E36"/>
    <w:rsid w:val="00664E3A"/>
    <w:rsid w:val="00666066"/>
    <w:rsid w:val="006668E8"/>
    <w:rsid w:val="006674F9"/>
    <w:rsid w:val="00667EB0"/>
    <w:rsid w:val="00670358"/>
    <w:rsid w:val="0067096B"/>
    <w:rsid w:val="00671047"/>
    <w:rsid w:val="00671210"/>
    <w:rsid w:val="00673A3E"/>
    <w:rsid w:val="00673DD5"/>
    <w:rsid w:val="00674446"/>
    <w:rsid w:val="0067565A"/>
    <w:rsid w:val="0067656C"/>
    <w:rsid w:val="00677E67"/>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24A"/>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160"/>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39E8"/>
    <w:rsid w:val="008D455E"/>
    <w:rsid w:val="008D4830"/>
    <w:rsid w:val="008D66CB"/>
    <w:rsid w:val="008D6A44"/>
    <w:rsid w:val="008D767A"/>
    <w:rsid w:val="008E03E8"/>
    <w:rsid w:val="008E0B87"/>
    <w:rsid w:val="008E222C"/>
    <w:rsid w:val="008E2399"/>
    <w:rsid w:val="008E31A1"/>
    <w:rsid w:val="008E3AC0"/>
    <w:rsid w:val="008E44F4"/>
    <w:rsid w:val="008E4FD7"/>
    <w:rsid w:val="008E5891"/>
    <w:rsid w:val="008E5EF5"/>
    <w:rsid w:val="008E740B"/>
    <w:rsid w:val="008F1079"/>
    <w:rsid w:val="008F109C"/>
    <w:rsid w:val="008F10E5"/>
    <w:rsid w:val="008F1C2E"/>
    <w:rsid w:val="008F2E3D"/>
    <w:rsid w:val="008F335D"/>
    <w:rsid w:val="008F348B"/>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3B2D"/>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688"/>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A73C7"/>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5FA"/>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3F1"/>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452A"/>
    <w:rsid w:val="00AC6910"/>
    <w:rsid w:val="00AC6F43"/>
    <w:rsid w:val="00AC7C34"/>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451"/>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C7D"/>
    <w:rsid w:val="00BB4DA8"/>
    <w:rsid w:val="00BB545C"/>
    <w:rsid w:val="00BB5587"/>
    <w:rsid w:val="00BB5B6E"/>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5B9"/>
    <w:rsid w:val="00CF083F"/>
    <w:rsid w:val="00CF1B02"/>
    <w:rsid w:val="00CF2166"/>
    <w:rsid w:val="00CF2233"/>
    <w:rsid w:val="00CF3193"/>
    <w:rsid w:val="00CF3569"/>
    <w:rsid w:val="00CF3CA5"/>
    <w:rsid w:val="00CF4FCD"/>
    <w:rsid w:val="00CF5B06"/>
    <w:rsid w:val="00CF5FE9"/>
    <w:rsid w:val="00CF613C"/>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3F05"/>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6BE"/>
    <w:rsid w:val="00EE6E2B"/>
    <w:rsid w:val="00EE7203"/>
    <w:rsid w:val="00EE7430"/>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2016-03-08T12:29:00Z</cp:lastPrinted>
  <dcterms:created xsi:type="dcterms:W3CDTF">2016-03-23T11:49:00Z</dcterms:created>
  <dcterms:modified xsi:type="dcterms:W3CDTF">2016-03-23T11:49:00Z</dcterms:modified>
</cp:coreProperties>
</file>