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26201686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Type">
          <w:r w:rsidRPr="00D26F9E">
            <w:rPr>
              <w:rFonts w:ascii="Arial" w:hAnsi="Arial" w:cs="Arial"/>
              <w:b/>
              <w:bCs/>
              <w:sz w:val="24"/>
            </w:rPr>
            <w:t>REPUBLIC</w:t>
          </w:r>
        </w:smartTag>
        <w:r w:rsidRPr="00D26F9E">
          <w:rPr>
            <w:rFonts w:ascii="Arial" w:hAnsi="Arial" w:cs="Arial"/>
            <w:b/>
            <w:bCs/>
            <w:sz w:val="24"/>
          </w:rPr>
          <w:t xml:space="preserve"> OF </w:t>
        </w:r>
        <w:smartTag w:uri="urn:schemas-microsoft-com:office:smarttags" w:element="PlaceName">
          <w:r w:rsidRPr="00D26F9E">
            <w:rPr>
              <w:rFonts w:ascii="Arial" w:hAnsi="Arial" w:cs="Arial"/>
              <w:b/>
              <w:bCs/>
              <w:sz w:val="24"/>
            </w:rPr>
            <w:t>SOUTH AFRICA</w:t>
          </w:r>
        </w:smartTag>
      </w:smartTag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9F5B5D" w:rsidRPr="0055709D">
        <w:rPr>
          <w:b/>
          <w:sz w:val="24"/>
          <w:szCs w:val="24"/>
          <w:lang w:val="af-ZA"/>
        </w:rPr>
        <w:t xml:space="preserve"> </w:t>
      </w:r>
      <w:r w:rsidR="00186A1C">
        <w:rPr>
          <w:b/>
          <w:sz w:val="24"/>
          <w:szCs w:val="24"/>
          <w:lang w:val="af-ZA"/>
        </w:rPr>
        <w:t>4</w:t>
      </w:r>
      <w:r w:rsidR="00EE293E">
        <w:rPr>
          <w:b/>
          <w:sz w:val="24"/>
          <w:szCs w:val="24"/>
          <w:lang w:val="af-ZA"/>
        </w:rPr>
        <w:t>41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186A1C">
        <w:rPr>
          <w:b/>
          <w:sz w:val="24"/>
          <w:szCs w:val="24"/>
        </w:rPr>
        <w:t>26</w:t>
      </w:r>
      <w:r w:rsidR="00526E7D" w:rsidRPr="0055709D">
        <w:rPr>
          <w:b/>
          <w:sz w:val="24"/>
          <w:szCs w:val="24"/>
        </w:rPr>
        <w:t xml:space="preserve"> FEBRUARY 2</w:t>
      </w:r>
      <w:r w:rsidR="00A830EA" w:rsidRPr="0055709D">
        <w:rPr>
          <w:b/>
          <w:sz w:val="24"/>
          <w:szCs w:val="24"/>
        </w:rPr>
        <w:t>01</w:t>
      </w:r>
      <w:r w:rsidR="003F5497">
        <w:rPr>
          <w:b/>
          <w:sz w:val="24"/>
          <w:szCs w:val="24"/>
        </w:rPr>
        <w:t>6</w:t>
      </w:r>
    </w:p>
    <w:p w:rsidR="008F0741" w:rsidRPr="0055709D" w:rsidRDefault="008F0741" w:rsidP="006F111A">
      <w:pPr>
        <w:rPr>
          <w:b/>
          <w:sz w:val="24"/>
          <w:szCs w:val="24"/>
        </w:rPr>
      </w:pPr>
    </w:p>
    <w:p w:rsidR="00EE293E" w:rsidRPr="00CD2B91" w:rsidRDefault="00EE293E" w:rsidP="00EE293E">
      <w:pPr>
        <w:spacing w:before="100" w:beforeAutospacing="1" w:after="100" w:afterAutospacing="1"/>
        <w:ind w:left="709" w:hanging="720"/>
        <w:jc w:val="both"/>
        <w:outlineLvl w:val="0"/>
        <w:rPr>
          <w:b/>
          <w:sz w:val="24"/>
          <w:szCs w:val="24"/>
        </w:rPr>
      </w:pPr>
      <w:r w:rsidRPr="00CD2B91">
        <w:rPr>
          <w:b/>
          <w:sz w:val="24"/>
          <w:szCs w:val="24"/>
        </w:rPr>
        <w:t>Ms D Carter (Cope) to ask the Minister of Human Settlements:</w:t>
      </w:r>
    </w:p>
    <w:p w:rsidR="00EE293E" w:rsidRPr="00FB5234" w:rsidRDefault="00EE293E" w:rsidP="00F14C02">
      <w:pPr>
        <w:spacing w:line="360" w:lineRule="auto"/>
        <w:ind w:left="706" w:hanging="706"/>
        <w:jc w:val="both"/>
        <w:rPr>
          <w:color w:val="000000"/>
          <w:sz w:val="24"/>
          <w:szCs w:val="24"/>
          <w:lang w:val="en-ZA" w:eastAsia="en-ZA"/>
        </w:rPr>
      </w:pPr>
      <w:r w:rsidRPr="00FB5234">
        <w:rPr>
          <w:color w:val="000000"/>
          <w:sz w:val="24"/>
          <w:szCs w:val="24"/>
          <w:lang w:val="en-ZA" w:eastAsia="en-ZA"/>
        </w:rPr>
        <w:t>(1)</w:t>
      </w:r>
      <w:r w:rsidRPr="00FB5234">
        <w:rPr>
          <w:color w:val="000000"/>
          <w:sz w:val="24"/>
          <w:szCs w:val="24"/>
          <w:lang w:val="en-ZA" w:eastAsia="en-ZA"/>
        </w:rPr>
        <w:tab/>
        <w:t>Whether the national and provincial departments responsible for advancing the goals and objectives of her department have consistently used their budget allocations fully for the period 1 March 2012 to 28 February 2016, to attain predetermined and costed targets; if not, why not; if so, what are the relevant details;</w:t>
      </w:r>
    </w:p>
    <w:p w:rsidR="00EE293E" w:rsidRPr="00FB5234" w:rsidRDefault="00EE293E" w:rsidP="00F14C02">
      <w:pPr>
        <w:spacing w:line="360" w:lineRule="auto"/>
        <w:ind w:left="706" w:hanging="706"/>
        <w:jc w:val="both"/>
        <w:rPr>
          <w:color w:val="000000"/>
          <w:sz w:val="24"/>
          <w:szCs w:val="24"/>
          <w:lang w:val="en-ZA" w:eastAsia="en-ZA"/>
        </w:rPr>
      </w:pPr>
      <w:r w:rsidRPr="00FB5234">
        <w:rPr>
          <w:color w:val="000000"/>
          <w:sz w:val="24"/>
          <w:szCs w:val="24"/>
          <w:lang w:val="en-ZA" w:eastAsia="en-ZA"/>
        </w:rPr>
        <w:t>(2)</w:t>
      </w:r>
      <w:r w:rsidRPr="00FB5234">
        <w:rPr>
          <w:color w:val="000000"/>
          <w:sz w:val="24"/>
          <w:szCs w:val="24"/>
          <w:lang w:val="en-ZA" w:eastAsia="en-ZA"/>
        </w:rPr>
        <w:tab/>
      </w:r>
      <w:proofErr w:type="gramStart"/>
      <w:r w:rsidRPr="00FB5234">
        <w:rPr>
          <w:color w:val="000000"/>
          <w:sz w:val="24"/>
          <w:szCs w:val="24"/>
          <w:lang w:val="en-ZA" w:eastAsia="en-ZA"/>
        </w:rPr>
        <w:t>whether</w:t>
      </w:r>
      <w:proofErr w:type="gramEnd"/>
      <w:r w:rsidRPr="00FB5234">
        <w:rPr>
          <w:color w:val="000000"/>
          <w:sz w:val="24"/>
          <w:szCs w:val="24"/>
          <w:lang w:val="en-ZA" w:eastAsia="en-ZA"/>
        </w:rPr>
        <w:t xml:space="preserve"> any disciplinary action was taken against any officials for not meeting the specified targets and not utilising the approved allocation; if not, why not; if so, what are the relevant details;</w:t>
      </w:r>
    </w:p>
    <w:p w:rsidR="00EE293E" w:rsidRPr="00CD2B91" w:rsidRDefault="00EE293E" w:rsidP="00F14C02">
      <w:pPr>
        <w:spacing w:line="360" w:lineRule="auto"/>
        <w:ind w:left="706" w:hanging="706"/>
        <w:jc w:val="both"/>
        <w:rPr>
          <w:sz w:val="24"/>
          <w:szCs w:val="24"/>
        </w:rPr>
      </w:pPr>
      <w:r w:rsidRPr="00FB5234">
        <w:rPr>
          <w:color w:val="000000"/>
          <w:sz w:val="24"/>
          <w:szCs w:val="24"/>
          <w:lang w:val="en-ZA" w:eastAsia="en-ZA"/>
        </w:rPr>
        <w:t>(3)</w:t>
      </w:r>
      <w:r w:rsidRPr="00FB5234">
        <w:rPr>
          <w:color w:val="000000"/>
          <w:sz w:val="24"/>
          <w:szCs w:val="24"/>
          <w:lang w:val="en-ZA" w:eastAsia="en-ZA"/>
        </w:rPr>
        <w:tab/>
        <w:t>whether the present model of providing free houses is sustainable over the coming decade; if not, how is the model going to be amended or altered; if so, what are the relevant details?</w:t>
      </w:r>
      <w:r>
        <w:rPr>
          <w:color w:val="000000"/>
          <w:sz w:val="24"/>
          <w:szCs w:val="24"/>
          <w:lang w:val="en-ZA" w:eastAsia="en-ZA"/>
        </w:rPr>
        <w:t xml:space="preserve">  </w:t>
      </w:r>
      <w:r w:rsidRPr="00EE293E">
        <w:rPr>
          <w:b/>
          <w:sz w:val="18"/>
          <w:szCs w:val="18"/>
        </w:rPr>
        <w:tab/>
        <w:t>NW495E</w:t>
      </w:r>
      <w:r>
        <w:rPr>
          <w:color w:val="000000"/>
          <w:sz w:val="24"/>
          <w:szCs w:val="24"/>
          <w:lang w:val="en-ZA" w:eastAsia="en-ZA"/>
        </w:rPr>
        <w:tab/>
      </w:r>
    </w:p>
    <w:p w:rsidR="008F0741" w:rsidRDefault="008F0741" w:rsidP="008F0741">
      <w:pPr>
        <w:pStyle w:val="ListParagraph"/>
        <w:spacing w:before="100" w:beforeAutospacing="1" w:after="100" w:afterAutospacing="1" w:line="360" w:lineRule="auto"/>
        <w:ind w:left="0"/>
        <w:jc w:val="both"/>
        <w:rPr>
          <w:b/>
          <w:sz w:val="24"/>
          <w:szCs w:val="24"/>
        </w:rPr>
      </w:pPr>
    </w:p>
    <w:p w:rsidR="00766CE9" w:rsidRDefault="008F0741" w:rsidP="008F0741">
      <w:pPr>
        <w:pStyle w:val="ListParagraph"/>
        <w:spacing w:before="100" w:beforeAutospacing="1" w:after="100" w:afterAutospacing="1" w:line="360" w:lineRule="auto"/>
        <w:ind w:left="0"/>
        <w:jc w:val="both"/>
        <w:rPr>
          <w:b/>
          <w:sz w:val="24"/>
          <w:szCs w:val="24"/>
        </w:rPr>
      </w:pPr>
      <w:r w:rsidRPr="008F0741">
        <w:rPr>
          <w:b/>
          <w:sz w:val="24"/>
          <w:szCs w:val="24"/>
        </w:rPr>
        <w:t>RE</w:t>
      </w:r>
      <w:r w:rsidR="00EB6AA1" w:rsidRPr="008F0741">
        <w:rPr>
          <w:b/>
          <w:sz w:val="24"/>
          <w:szCs w:val="24"/>
        </w:rPr>
        <w:t>P</w:t>
      </w:r>
      <w:r w:rsidR="00EB6AA1" w:rsidRPr="00D25C85">
        <w:rPr>
          <w:b/>
          <w:sz w:val="24"/>
          <w:szCs w:val="24"/>
        </w:rPr>
        <w:t>LY:</w:t>
      </w:r>
    </w:p>
    <w:p w:rsidR="00FC284E" w:rsidRPr="00D25C85" w:rsidRDefault="00D25C85" w:rsidP="00FC284E">
      <w:pPr>
        <w:spacing w:line="360" w:lineRule="auto"/>
        <w:ind w:left="720" w:hanging="720"/>
        <w:jc w:val="both"/>
        <w:rPr>
          <w:sz w:val="24"/>
          <w:szCs w:val="24"/>
        </w:rPr>
      </w:pPr>
      <w:r w:rsidRPr="00D25C85">
        <w:rPr>
          <w:sz w:val="24"/>
          <w:szCs w:val="24"/>
        </w:rPr>
        <w:t>(1)</w:t>
      </w:r>
      <w:r>
        <w:rPr>
          <w:sz w:val="24"/>
          <w:szCs w:val="24"/>
        </w:rPr>
        <w:tab/>
      </w:r>
      <w:r w:rsidR="00FC284E" w:rsidRPr="00D25C85">
        <w:rPr>
          <w:rFonts w:eastAsia="Calibri"/>
          <w:sz w:val="24"/>
          <w:szCs w:val="24"/>
          <w:lang w:val="en-US"/>
        </w:rPr>
        <w:t xml:space="preserve">The National Department of Human Settlements has over a period of three (3) years ending 2014/15 spent approximately 96% of the grant allocation of R50,288 billion with 79% spent in 2015/16 financial year and as at </w:t>
      </w:r>
      <w:r w:rsidR="00FC284E" w:rsidRPr="00925A3A">
        <w:rPr>
          <w:rFonts w:eastAsia="Calibri"/>
          <w:b/>
          <w:sz w:val="24"/>
          <w:szCs w:val="24"/>
          <w:lang w:val="en-US"/>
        </w:rPr>
        <w:t>2</w:t>
      </w:r>
      <w:r w:rsidR="00560DCE" w:rsidRPr="00925A3A">
        <w:rPr>
          <w:rFonts w:eastAsia="Calibri"/>
          <w:b/>
          <w:sz w:val="24"/>
          <w:szCs w:val="24"/>
          <w:lang w:val="en-US"/>
        </w:rPr>
        <w:t>9</w:t>
      </w:r>
      <w:r w:rsidR="00FC284E" w:rsidRPr="00925A3A">
        <w:rPr>
          <w:rFonts w:eastAsia="Calibri"/>
          <w:b/>
          <w:sz w:val="24"/>
          <w:szCs w:val="24"/>
          <w:lang w:val="en-US"/>
        </w:rPr>
        <w:t xml:space="preserve"> February 2016</w:t>
      </w:r>
      <w:r w:rsidR="00925A3A" w:rsidRPr="00925A3A">
        <w:rPr>
          <w:rFonts w:eastAsia="Calibri"/>
          <w:b/>
          <w:sz w:val="24"/>
          <w:szCs w:val="24"/>
          <w:lang w:val="en-US"/>
        </w:rPr>
        <w:t xml:space="preserve"> (unaudited figure)</w:t>
      </w:r>
      <w:r w:rsidR="00FC284E" w:rsidRPr="00925A3A">
        <w:rPr>
          <w:rFonts w:eastAsia="Calibri"/>
          <w:b/>
          <w:sz w:val="24"/>
          <w:szCs w:val="24"/>
          <w:lang w:val="en-US"/>
        </w:rPr>
        <w:t>,</w:t>
      </w:r>
      <w:r w:rsidR="00FC284E" w:rsidRPr="00D25C85">
        <w:rPr>
          <w:rFonts w:eastAsia="Calibri"/>
          <w:sz w:val="24"/>
          <w:szCs w:val="24"/>
          <w:lang w:val="en-US"/>
        </w:rPr>
        <w:t xml:space="preserve"> the latter has to date yielded 114 536 housing opportunities.</w:t>
      </w:r>
    </w:p>
    <w:p w:rsidR="00FC284E" w:rsidRDefault="00FC284E" w:rsidP="008F0741">
      <w:pPr>
        <w:spacing w:line="360" w:lineRule="auto"/>
        <w:ind w:left="720" w:hanging="720"/>
        <w:jc w:val="both"/>
        <w:rPr>
          <w:sz w:val="24"/>
          <w:szCs w:val="24"/>
        </w:rPr>
      </w:pPr>
    </w:p>
    <w:p w:rsidR="00A4133B" w:rsidRPr="00D25C85" w:rsidRDefault="00A4133B" w:rsidP="00FC284E">
      <w:pPr>
        <w:spacing w:line="360" w:lineRule="auto"/>
        <w:ind w:left="720"/>
        <w:jc w:val="both"/>
        <w:rPr>
          <w:rFonts w:eastAsia="Calibri"/>
          <w:b/>
          <w:sz w:val="24"/>
          <w:szCs w:val="24"/>
          <w:lang w:val="en-US"/>
        </w:rPr>
      </w:pPr>
      <w:r>
        <w:rPr>
          <w:sz w:val="24"/>
          <w:szCs w:val="24"/>
        </w:rPr>
        <w:t xml:space="preserve">The </w:t>
      </w:r>
      <w:r w:rsidR="008F0741">
        <w:rPr>
          <w:sz w:val="24"/>
          <w:szCs w:val="24"/>
        </w:rPr>
        <w:t>information requested</w:t>
      </w:r>
      <w:r w:rsidR="007F621E">
        <w:rPr>
          <w:sz w:val="24"/>
          <w:szCs w:val="24"/>
        </w:rPr>
        <w:t xml:space="preserve"> by the Honourable member</w:t>
      </w:r>
      <w:r w:rsidR="008F0741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contained in the table below:</w:t>
      </w:r>
    </w:p>
    <w:tbl>
      <w:tblPr>
        <w:tblpPr w:leftFromText="180" w:rightFromText="180" w:vertAnchor="text" w:horzAnchor="margin" w:tblpXSpec="center" w:tblpY="427"/>
        <w:tblW w:w="0" w:type="auto"/>
        <w:tblLayout w:type="fixed"/>
        <w:tblLook w:val="0000"/>
      </w:tblPr>
      <w:tblGrid>
        <w:gridCol w:w="2268"/>
        <w:gridCol w:w="1440"/>
        <w:gridCol w:w="1620"/>
        <w:gridCol w:w="1530"/>
        <w:gridCol w:w="2007"/>
      </w:tblGrid>
      <w:tr w:rsidR="00D25C85" w:rsidRPr="00D25C85" w:rsidTr="00925A3A">
        <w:trPr>
          <w:trHeight w:val="336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Financial Periods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2012/13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2013/14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2014/15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2015/16</w:t>
            </w:r>
          </w:p>
        </w:tc>
      </w:tr>
      <w:tr w:rsidR="00D25C85" w:rsidRPr="00D25C85" w:rsidTr="00925A3A">
        <w:trPr>
          <w:trHeight w:val="321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Serviced Sites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45 698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48 193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49 345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36 956</w:t>
            </w:r>
          </w:p>
        </w:tc>
      </w:tr>
      <w:tr w:rsidR="00D25C85" w:rsidRPr="00D25C85" w:rsidTr="00925A3A">
        <w:trPr>
          <w:trHeight w:val="321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Units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115 079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105 936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94 566</w:t>
            </w:r>
          </w:p>
        </w:tc>
        <w:tc>
          <w:tcPr>
            <w:tcW w:w="2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77 580</w:t>
            </w:r>
          </w:p>
        </w:tc>
      </w:tr>
      <w:tr w:rsidR="00D25C85" w:rsidRPr="00D25C85" w:rsidTr="00925A3A">
        <w:trPr>
          <w:trHeight w:val="321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160 777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154 129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143 911</w:t>
            </w:r>
          </w:p>
        </w:tc>
        <w:tc>
          <w:tcPr>
            <w:tcW w:w="2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114 536</w:t>
            </w:r>
          </w:p>
        </w:tc>
      </w:tr>
      <w:tr w:rsidR="00D25C85" w:rsidRPr="00D25C85" w:rsidTr="00925A3A">
        <w:trPr>
          <w:trHeight w:val="321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25C85" w:rsidRPr="00D25C85" w:rsidTr="00925A3A">
        <w:trPr>
          <w:trHeight w:val="321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Total Available funds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color w:val="000000"/>
                <w:sz w:val="22"/>
                <w:szCs w:val="22"/>
                <w:lang w:val="en-US"/>
              </w:rPr>
              <w:t>15 886 226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color w:val="000000"/>
                <w:sz w:val="22"/>
                <w:szCs w:val="22"/>
                <w:lang w:val="en-US"/>
              </w:rPr>
              <w:t>17 028 326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color w:val="000000"/>
                <w:sz w:val="22"/>
                <w:szCs w:val="22"/>
                <w:lang w:val="en-US"/>
              </w:rPr>
              <w:t>17 374 021</w:t>
            </w:r>
          </w:p>
        </w:tc>
        <w:tc>
          <w:tcPr>
            <w:tcW w:w="2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color w:val="000000"/>
                <w:sz w:val="22"/>
                <w:szCs w:val="22"/>
                <w:lang w:val="en-US"/>
              </w:rPr>
              <w:t>18 581 067</w:t>
            </w:r>
          </w:p>
        </w:tc>
      </w:tr>
      <w:tr w:rsidR="00D25C85" w:rsidRPr="00D25C85" w:rsidTr="00925A3A">
        <w:trPr>
          <w:trHeight w:val="321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Expenditure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15 142 431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16 500 648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16 972 848</w:t>
            </w:r>
          </w:p>
        </w:tc>
        <w:tc>
          <w:tcPr>
            <w:tcW w:w="20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14 703 012</w:t>
            </w:r>
          </w:p>
        </w:tc>
      </w:tr>
      <w:tr w:rsidR="00D25C85" w:rsidRPr="00D25C85" w:rsidTr="00925A3A">
        <w:trPr>
          <w:trHeight w:val="336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%</w:t>
            </w:r>
            <w:r w:rsidR="00A4133B" w:rsidRPr="00424270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424270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Exp</w:t>
            </w:r>
            <w:r w:rsidR="00A4133B" w:rsidRPr="00424270">
              <w:rPr>
                <w:rFonts w:eastAsia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95.32%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96.90%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97.69%</w:t>
            </w:r>
          </w:p>
        </w:tc>
        <w:tc>
          <w:tcPr>
            <w:tcW w:w="200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25C85" w:rsidRPr="00424270" w:rsidRDefault="00D25C85" w:rsidP="00D4028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  <w:t>79.13%</w:t>
            </w:r>
          </w:p>
          <w:p w:rsidR="00925A3A" w:rsidRPr="00424270" w:rsidRDefault="00424270" w:rsidP="0042427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  <w:r w:rsidRPr="00424270">
              <w:rPr>
                <w:rFonts w:eastAsia="Calibri"/>
                <w:b/>
                <w:sz w:val="22"/>
                <w:szCs w:val="22"/>
                <w:lang w:val="en-US"/>
              </w:rPr>
              <w:t xml:space="preserve">As at </w:t>
            </w:r>
            <w:r w:rsidR="00925A3A" w:rsidRPr="00424270">
              <w:rPr>
                <w:rFonts w:eastAsia="Calibri"/>
                <w:b/>
                <w:sz w:val="22"/>
                <w:szCs w:val="22"/>
                <w:lang w:val="en-US"/>
              </w:rPr>
              <w:t>29 February 2016 (unaudited figure)</w:t>
            </w:r>
          </w:p>
        </w:tc>
      </w:tr>
    </w:tbl>
    <w:p w:rsidR="00D25C85" w:rsidRPr="00D25C85" w:rsidRDefault="00D25C85" w:rsidP="00D25C85">
      <w:pPr>
        <w:spacing w:after="200" w:line="276" w:lineRule="auto"/>
        <w:ind w:left="720" w:hanging="720"/>
        <w:rPr>
          <w:rFonts w:eastAsia="Calibri"/>
          <w:sz w:val="24"/>
          <w:szCs w:val="24"/>
          <w:lang w:val="en-US"/>
        </w:rPr>
      </w:pPr>
      <w:r w:rsidRPr="00D25C85">
        <w:rPr>
          <w:rFonts w:eastAsia="Calibri"/>
          <w:sz w:val="24"/>
          <w:szCs w:val="24"/>
          <w:lang w:val="en-US"/>
        </w:rPr>
        <w:tab/>
      </w:r>
    </w:p>
    <w:p w:rsidR="00D25C85" w:rsidRPr="00D25C85" w:rsidRDefault="00D25C85" w:rsidP="00D25C85">
      <w:pPr>
        <w:spacing w:after="200" w:line="276" w:lineRule="auto"/>
        <w:ind w:left="720" w:hanging="720"/>
        <w:rPr>
          <w:rFonts w:eastAsia="Calibri"/>
          <w:sz w:val="24"/>
          <w:szCs w:val="24"/>
          <w:lang w:val="en-US"/>
        </w:rPr>
      </w:pPr>
      <w:r w:rsidRPr="00D25C85">
        <w:rPr>
          <w:rFonts w:eastAsia="Calibri"/>
          <w:sz w:val="24"/>
          <w:szCs w:val="24"/>
          <w:lang w:val="en-US"/>
        </w:rPr>
        <w:tab/>
        <w:t>The National Department of Human Settlements has over a period of three (3) years ending 2014/15 spent approximately 96% of the grant allocation of R50,288 billion with 79% spent in 2015/16 financial year and as at 28 February 2016, the latter has to date yielded 114 536 housing opportunities.</w:t>
      </w:r>
    </w:p>
    <w:p w:rsidR="00D25C85" w:rsidRPr="00D25C85" w:rsidRDefault="00D25C85" w:rsidP="00D25C85">
      <w:pPr>
        <w:spacing w:after="200" w:line="276" w:lineRule="auto"/>
        <w:ind w:left="720" w:hanging="720"/>
        <w:rPr>
          <w:rFonts w:eastAsia="Calibri"/>
          <w:sz w:val="24"/>
          <w:szCs w:val="24"/>
          <w:lang w:val="en-US"/>
        </w:rPr>
      </w:pPr>
    </w:p>
    <w:p w:rsidR="00A4133B" w:rsidRDefault="00A4133B" w:rsidP="00D25C85">
      <w:pPr>
        <w:spacing w:after="200" w:line="276" w:lineRule="auto"/>
        <w:ind w:left="720" w:hanging="720"/>
        <w:rPr>
          <w:rFonts w:eastAsia="Calibri"/>
          <w:b/>
          <w:sz w:val="24"/>
          <w:szCs w:val="24"/>
          <w:lang w:val="en-US"/>
        </w:rPr>
      </w:pPr>
    </w:p>
    <w:p w:rsidR="00A4133B" w:rsidRDefault="00A4133B" w:rsidP="00D25C85">
      <w:pPr>
        <w:spacing w:after="200" w:line="276" w:lineRule="auto"/>
        <w:ind w:left="720" w:hanging="720"/>
        <w:rPr>
          <w:rFonts w:eastAsia="Calibri"/>
          <w:b/>
          <w:sz w:val="24"/>
          <w:szCs w:val="24"/>
          <w:lang w:val="en-US"/>
        </w:rPr>
      </w:pPr>
    </w:p>
    <w:p w:rsidR="00A4133B" w:rsidRDefault="00A4133B" w:rsidP="00D25C85">
      <w:pPr>
        <w:spacing w:after="200" w:line="276" w:lineRule="auto"/>
        <w:ind w:left="720" w:hanging="720"/>
        <w:rPr>
          <w:rFonts w:eastAsia="Calibri"/>
          <w:b/>
          <w:sz w:val="24"/>
          <w:szCs w:val="24"/>
          <w:lang w:val="en-US"/>
        </w:rPr>
      </w:pPr>
    </w:p>
    <w:p w:rsidR="008F0741" w:rsidRDefault="008F0741" w:rsidP="008F0741">
      <w:pPr>
        <w:spacing w:line="360" w:lineRule="auto"/>
        <w:ind w:left="720"/>
        <w:jc w:val="both"/>
        <w:rPr>
          <w:rFonts w:eastAsia="Calibri"/>
          <w:sz w:val="24"/>
          <w:szCs w:val="24"/>
          <w:lang w:val="en-US"/>
        </w:rPr>
      </w:pPr>
    </w:p>
    <w:p w:rsidR="00925A3A" w:rsidRDefault="00925A3A" w:rsidP="00A4133B">
      <w:pPr>
        <w:spacing w:line="360" w:lineRule="auto"/>
        <w:ind w:left="720" w:hanging="720"/>
        <w:jc w:val="both"/>
        <w:rPr>
          <w:rFonts w:eastAsia="Calibri"/>
          <w:sz w:val="24"/>
          <w:szCs w:val="24"/>
          <w:lang w:val="en-US"/>
        </w:rPr>
      </w:pPr>
    </w:p>
    <w:p w:rsidR="00925A3A" w:rsidRDefault="00925A3A" w:rsidP="00A4133B">
      <w:pPr>
        <w:spacing w:line="360" w:lineRule="auto"/>
        <w:ind w:left="720" w:hanging="720"/>
        <w:jc w:val="both"/>
        <w:rPr>
          <w:rFonts w:eastAsia="Calibri"/>
          <w:sz w:val="24"/>
          <w:szCs w:val="24"/>
          <w:lang w:val="en-US"/>
        </w:rPr>
      </w:pPr>
    </w:p>
    <w:p w:rsidR="00925A3A" w:rsidRDefault="00925A3A" w:rsidP="00A4133B">
      <w:pPr>
        <w:spacing w:line="360" w:lineRule="auto"/>
        <w:ind w:left="720" w:hanging="720"/>
        <w:jc w:val="both"/>
        <w:rPr>
          <w:rFonts w:eastAsia="Calibri"/>
          <w:sz w:val="24"/>
          <w:szCs w:val="24"/>
          <w:lang w:val="en-US"/>
        </w:rPr>
      </w:pPr>
    </w:p>
    <w:p w:rsidR="00D25C85" w:rsidRDefault="00A4133B" w:rsidP="00A4133B">
      <w:pPr>
        <w:spacing w:line="360" w:lineRule="auto"/>
        <w:ind w:left="720" w:hanging="72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(2)</w:t>
      </w:r>
      <w:r w:rsidR="00D25C85" w:rsidRPr="00D25C85">
        <w:rPr>
          <w:rFonts w:eastAsia="Calibri"/>
          <w:sz w:val="24"/>
          <w:szCs w:val="24"/>
          <w:lang w:val="en-US"/>
        </w:rPr>
        <w:tab/>
        <w:t>It is important to note that the National Department of Human Settlements transfers the H</w:t>
      </w:r>
      <w:r>
        <w:rPr>
          <w:rFonts w:eastAsia="Calibri"/>
          <w:sz w:val="24"/>
          <w:szCs w:val="24"/>
          <w:lang w:val="en-US"/>
        </w:rPr>
        <w:t xml:space="preserve">uman Settlements Development Grant (HSDG) </w:t>
      </w:r>
      <w:r w:rsidR="00D25C85" w:rsidRPr="00D25C85">
        <w:rPr>
          <w:rFonts w:eastAsia="Calibri"/>
          <w:sz w:val="24"/>
          <w:szCs w:val="24"/>
          <w:lang w:val="en-US"/>
        </w:rPr>
        <w:t xml:space="preserve">to provinces </w:t>
      </w:r>
      <w:proofErr w:type="gramStart"/>
      <w:r w:rsidR="00D25C85" w:rsidRPr="00D25C85">
        <w:rPr>
          <w:rFonts w:eastAsia="Calibri"/>
          <w:sz w:val="24"/>
          <w:szCs w:val="24"/>
          <w:lang w:val="en-US"/>
        </w:rPr>
        <w:t>who</w:t>
      </w:r>
      <w:proofErr w:type="gramEnd"/>
      <w:r w:rsidR="00D25C85" w:rsidRPr="00D25C85">
        <w:rPr>
          <w:rFonts w:eastAsia="Calibri"/>
          <w:sz w:val="24"/>
          <w:szCs w:val="24"/>
          <w:lang w:val="en-US"/>
        </w:rPr>
        <w:t xml:space="preserve"> in turn use the grant to develop sites and houses. The National Department uses </w:t>
      </w:r>
      <w:r>
        <w:rPr>
          <w:rFonts w:eastAsia="Calibri"/>
          <w:sz w:val="24"/>
          <w:szCs w:val="24"/>
          <w:lang w:val="en-US"/>
        </w:rPr>
        <w:t>Division of Revenue Act (</w:t>
      </w:r>
      <w:r w:rsidR="00D25C85" w:rsidRPr="00D25C85">
        <w:rPr>
          <w:rFonts w:eastAsia="Calibri"/>
          <w:sz w:val="24"/>
          <w:szCs w:val="24"/>
          <w:lang w:val="en-US"/>
        </w:rPr>
        <w:t>DORA</w:t>
      </w:r>
      <w:r>
        <w:rPr>
          <w:rFonts w:eastAsia="Calibri"/>
          <w:sz w:val="24"/>
          <w:szCs w:val="24"/>
          <w:lang w:val="en-US"/>
        </w:rPr>
        <w:t>)</w:t>
      </w:r>
      <w:r w:rsidR="00D25C85" w:rsidRPr="00D25C85">
        <w:rPr>
          <w:rFonts w:eastAsia="Calibri"/>
          <w:sz w:val="24"/>
          <w:szCs w:val="24"/>
          <w:lang w:val="en-US"/>
        </w:rPr>
        <w:t xml:space="preserve"> provisions to </w:t>
      </w:r>
      <w:r>
        <w:rPr>
          <w:rFonts w:eastAsia="Calibri"/>
          <w:sz w:val="24"/>
          <w:szCs w:val="24"/>
          <w:lang w:val="en-US"/>
        </w:rPr>
        <w:t xml:space="preserve">redirect </w:t>
      </w:r>
      <w:r w:rsidR="00D25C85" w:rsidRPr="00D25C85">
        <w:rPr>
          <w:rFonts w:eastAsia="Calibri"/>
          <w:sz w:val="24"/>
          <w:szCs w:val="24"/>
          <w:lang w:val="en-US"/>
        </w:rPr>
        <w:t>funding from underperforming to performing provinces</w:t>
      </w:r>
      <w:r>
        <w:rPr>
          <w:rFonts w:eastAsia="Calibri"/>
          <w:sz w:val="24"/>
          <w:szCs w:val="24"/>
          <w:lang w:val="en-US"/>
        </w:rPr>
        <w:t>. In addition</w:t>
      </w:r>
      <w:r w:rsidR="00D25C85" w:rsidRPr="00D25C85">
        <w:rPr>
          <w:rFonts w:eastAsia="Calibri"/>
          <w:sz w:val="24"/>
          <w:szCs w:val="24"/>
          <w:lang w:val="en-US"/>
        </w:rPr>
        <w:t xml:space="preserve">, </w:t>
      </w:r>
      <w:r>
        <w:rPr>
          <w:rFonts w:eastAsia="Calibri"/>
          <w:sz w:val="24"/>
          <w:szCs w:val="24"/>
          <w:lang w:val="en-US"/>
        </w:rPr>
        <w:t xml:space="preserve">the </w:t>
      </w:r>
      <w:proofErr w:type="gramStart"/>
      <w:r>
        <w:rPr>
          <w:rFonts w:eastAsia="Calibri"/>
          <w:sz w:val="24"/>
          <w:szCs w:val="24"/>
          <w:lang w:val="en-US"/>
        </w:rPr>
        <w:t xml:space="preserve">department </w:t>
      </w:r>
      <w:r w:rsidR="00C9247C">
        <w:rPr>
          <w:rFonts w:eastAsia="Calibri"/>
          <w:sz w:val="24"/>
          <w:szCs w:val="24"/>
          <w:lang w:val="en-US"/>
        </w:rPr>
        <w:t>assist</w:t>
      </w:r>
      <w:proofErr w:type="gramEnd"/>
      <w:r w:rsidR="00C9247C">
        <w:rPr>
          <w:rFonts w:eastAsia="Calibri"/>
          <w:sz w:val="24"/>
          <w:szCs w:val="24"/>
          <w:lang w:val="en-US"/>
        </w:rPr>
        <w:t xml:space="preserve"> underperforming provinces by putting </w:t>
      </w:r>
      <w:r w:rsidR="00D25C85" w:rsidRPr="00D25C85">
        <w:rPr>
          <w:rFonts w:eastAsia="Calibri"/>
          <w:sz w:val="24"/>
          <w:szCs w:val="24"/>
          <w:lang w:val="en-US"/>
        </w:rPr>
        <w:t>remedial actions on challenges that hamper or affect the meeting of goals and objectives of provinces.</w:t>
      </w:r>
      <w:r w:rsidR="00ED1F97">
        <w:rPr>
          <w:rFonts w:eastAsia="Calibri"/>
          <w:sz w:val="24"/>
          <w:szCs w:val="24"/>
          <w:lang w:val="en-US"/>
        </w:rPr>
        <w:t xml:space="preserve"> </w:t>
      </w:r>
      <w:r w:rsidR="007F621E">
        <w:rPr>
          <w:rFonts w:eastAsia="Calibri"/>
          <w:sz w:val="24"/>
          <w:szCs w:val="24"/>
          <w:lang w:val="en-US"/>
        </w:rPr>
        <w:t xml:space="preserve">Therefore, the national Department does not have authority in terms of the Public Service Act, 1994 to discipline official in another sphere of government.  </w:t>
      </w:r>
    </w:p>
    <w:p w:rsidR="00A4133B" w:rsidRPr="00D25C85" w:rsidRDefault="00A4133B" w:rsidP="00A4133B">
      <w:pPr>
        <w:spacing w:line="360" w:lineRule="auto"/>
        <w:ind w:left="720" w:hanging="720"/>
        <w:jc w:val="both"/>
        <w:rPr>
          <w:rFonts w:eastAsia="Calibri"/>
          <w:sz w:val="24"/>
          <w:szCs w:val="24"/>
          <w:lang w:val="en-US"/>
        </w:rPr>
      </w:pPr>
    </w:p>
    <w:p w:rsidR="00D25C85" w:rsidRPr="00D25C85" w:rsidRDefault="00D25C85" w:rsidP="00A4133B">
      <w:pPr>
        <w:spacing w:line="360" w:lineRule="auto"/>
        <w:ind w:left="720" w:hanging="720"/>
        <w:jc w:val="both"/>
        <w:rPr>
          <w:rFonts w:eastAsia="Calibri"/>
          <w:sz w:val="24"/>
          <w:szCs w:val="24"/>
          <w:lang w:val="en-US"/>
        </w:rPr>
      </w:pPr>
      <w:r w:rsidRPr="00D25C85">
        <w:rPr>
          <w:rFonts w:eastAsia="Calibri"/>
          <w:sz w:val="24"/>
          <w:szCs w:val="24"/>
          <w:lang w:val="en-US"/>
        </w:rPr>
        <w:tab/>
        <w:t>In terms of the National Department meeting its targets and objectives, the Department uses the performance appraisal system as a tool to monitor the performance of officials</w:t>
      </w:r>
      <w:r w:rsidR="00C9247C">
        <w:rPr>
          <w:rFonts w:eastAsia="Calibri"/>
          <w:sz w:val="24"/>
          <w:szCs w:val="24"/>
          <w:lang w:val="en-US"/>
        </w:rPr>
        <w:t>.</w:t>
      </w:r>
    </w:p>
    <w:p w:rsidR="00D25C85" w:rsidRPr="00D25C85" w:rsidRDefault="00D25C85" w:rsidP="00A4133B">
      <w:pPr>
        <w:spacing w:line="360" w:lineRule="auto"/>
        <w:ind w:left="720" w:hanging="720"/>
        <w:rPr>
          <w:rFonts w:eastAsia="Calibri"/>
          <w:sz w:val="24"/>
          <w:szCs w:val="24"/>
          <w:lang w:val="en-US"/>
        </w:rPr>
      </w:pPr>
    </w:p>
    <w:p w:rsidR="00D25C85" w:rsidRPr="00D25C85" w:rsidRDefault="00A4133B" w:rsidP="003E22FA">
      <w:pPr>
        <w:spacing w:line="360" w:lineRule="auto"/>
        <w:ind w:left="720" w:hanging="720"/>
        <w:jc w:val="both"/>
        <w:rPr>
          <w:rFonts w:eastAsia="Calibri"/>
          <w:sz w:val="24"/>
          <w:szCs w:val="24"/>
          <w:lang w:val="en-ZA"/>
        </w:rPr>
      </w:pPr>
      <w:r w:rsidRPr="00D25C85">
        <w:rPr>
          <w:rFonts w:eastAsia="Calibri"/>
          <w:sz w:val="24"/>
          <w:szCs w:val="24"/>
          <w:lang w:val="en-US"/>
        </w:rPr>
        <w:t xml:space="preserve"> </w:t>
      </w:r>
      <w:r w:rsidR="00D25C85" w:rsidRPr="00D25C85">
        <w:rPr>
          <w:rFonts w:eastAsia="Calibri"/>
          <w:sz w:val="24"/>
          <w:szCs w:val="24"/>
          <w:lang w:val="en-US"/>
        </w:rPr>
        <w:t>(3)</w:t>
      </w:r>
      <w:r w:rsidR="00D25C85" w:rsidRPr="00D25C85">
        <w:rPr>
          <w:rFonts w:eastAsia="Calibri"/>
          <w:sz w:val="24"/>
          <w:szCs w:val="24"/>
          <w:lang w:val="en-US"/>
        </w:rPr>
        <w:tab/>
      </w:r>
      <w:r w:rsidR="00096F1F">
        <w:rPr>
          <w:rFonts w:eastAsia="Calibri"/>
          <w:sz w:val="24"/>
          <w:szCs w:val="24"/>
          <w:lang w:val="en-US"/>
        </w:rPr>
        <w:t>Hono</w:t>
      </w:r>
      <w:r w:rsidR="003E22FA">
        <w:rPr>
          <w:rFonts w:eastAsia="Calibri"/>
          <w:sz w:val="24"/>
          <w:szCs w:val="24"/>
          <w:lang w:val="en-US"/>
        </w:rPr>
        <w:t>u</w:t>
      </w:r>
      <w:r w:rsidR="00096F1F">
        <w:rPr>
          <w:rFonts w:eastAsia="Calibri"/>
          <w:sz w:val="24"/>
          <w:szCs w:val="24"/>
          <w:lang w:val="en-US"/>
        </w:rPr>
        <w:t xml:space="preserve">rable member, it </w:t>
      </w:r>
      <w:r w:rsidR="00096F1F" w:rsidRPr="00D25C85">
        <w:rPr>
          <w:rFonts w:eastAsia="Calibri"/>
          <w:sz w:val="24"/>
          <w:szCs w:val="24"/>
          <w:lang w:val="en-ZA"/>
        </w:rPr>
        <w:t xml:space="preserve">not possible to indicate what the details of any policy revisions and/or proposals for amendments will be at this stage. </w:t>
      </w:r>
      <w:r w:rsidR="003E22FA" w:rsidRPr="00D25C85">
        <w:rPr>
          <w:rFonts w:eastAsia="Calibri"/>
          <w:sz w:val="24"/>
          <w:szCs w:val="24"/>
          <w:lang w:val="en-ZA"/>
        </w:rPr>
        <w:t>My Department is currently in the consultation phase</w:t>
      </w:r>
      <w:r w:rsidR="003E22FA">
        <w:rPr>
          <w:rFonts w:eastAsia="Calibri"/>
          <w:sz w:val="24"/>
          <w:szCs w:val="24"/>
          <w:lang w:val="en-ZA"/>
        </w:rPr>
        <w:t xml:space="preserve"> </w:t>
      </w:r>
      <w:r w:rsidR="00ED1F97">
        <w:rPr>
          <w:rFonts w:eastAsia="Calibri"/>
          <w:sz w:val="24"/>
          <w:szCs w:val="24"/>
          <w:lang w:val="en-ZA"/>
        </w:rPr>
        <w:t xml:space="preserve">of </w:t>
      </w:r>
      <w:r w:rsidR="00ED1F97" w:rsidRPr="00D25C85">
        <w:rPr>
          <w:rFonts w:eastAsia="Calibri"/>
          <w:sz w:val="24"/>
          <w:szCs w:val="24"/>
          <w:lang w:val="en-ZA"/>
        </w:rPr>
        <w:t>the</w:t>
      </w:r>
      <w:r w:rsidR="003E22FA">
        <w:rPr>
          <w:rFonts w:eastAsia="Calibri"/>
          <w:sz w:val="24"/>
          <w:szCs w:val="24"/>
          <w:lang w:val="en-ZA"/>
        </w:rPr>
        <w:t xml:space="preserve"> development of the </w:t>
      </w:r>
      <w:r w:rsidR="003E22FA" w:rsidRPr="00D25C85">
        <w:rPr>
          <w:rFonts w:eastAsia="Calibri"/>
          <w:sz w:val="24"/>
          <w:szCs w:val="24"/>
          <w:lang w:val="en-ZA"/>
        </w:rPr>
        <w:t>new Human Settlements White Paper process</w:t>
      </w:r>
      <w:r w:rsidR="003E22FA">
        <w:rPr>
          <w:rFonts w:eastAsia="Calibri"/>
          <w:sz w:val="24"/>
          <w:szCs w:val="24"/>
          <w:lang w:val="en-ZA"/>
        </w:rPr>
        <w:t xml:space="preserve">.  </w:t>
      </w:r>
      <w:r w:rsidR="00096F1F" w:rsidRPr="00D25C85">
        <w:rPr>
          <w:rFonts w:eastAsia="Calibri"/>
          <w:sz w:val="24"/>
          <w:szCs w:val="24"/>
          <w:lang w:val="en-ZA"/>
        </w:rPr>
        <w:t>In this process</w:t>
      </w:r>
      <w:r w:rsidR="003E22FA">
        <w:rPr>
          <w:rFonts w:eastAsia="Calibri"/>
          <w:sz w:val="24"/>
          <w:szCs w:val="24"/>
          <w:lang w:val="en-ZA"/>
        </w:rPr>
        <w:t>,</w:t>
      </w:r>
      <w:r w:rsidR="00096F1F" w:rsidRPr="00D25C85">
        <w:rPr>
          <w:rFonts w:eastAsia="Calibri"/>
          <w:sz w:val="24"/>
          <w:szCs w:val="24"/>
          <w:lang w:val="en-ZA"/>
        </w:rPr>
        <w:t xml:space="preserve"> we are revisiting all the core fundamental principles of the current policy including the </w:t>
      </w:r>
      <w:proofErr w:type="gramStart"/>
      <w:r w:rsidR="00096F1F" w:rsidRPr="00D25C85">
        <w:rPr>
          <w:rFonts w:eastAsia="Calibri"/>
          <w:sz w:val="24"/>
          <w:szCs w:val="24"/>
          <w:lang w:val="en-ZA"/>
        </w:rPr>
        <w:t>sustainability</w:t>
      </w:r>
      <w:proofErr w:type="gramEnd"/>
      <w:r w:rsidR="00096F1F" w:rsidRPr="00D25C85">
        <w:rPr>
          <w:rFonts w:eastAsia="Calibri"/>
          <w:sz w:val="24"/>
          <w:szCs w:val="24"/>
          <w:lang w:val="en-ZA"/>
        </w:rPr>
        <w:t xml:space="preserve"> of the Housing Subsidy Scheme in its current form</w:t>
      </w:r>
      <w:r w:rsidR="00096F1F">
        <w:rPr>
          <w:rFonts w:eastAsia="Calibri"/>
          <w:sz w:val="24"/>
          <w:szCs w:val="24"/>
          <w:lang w:val="en-ZA"/>
        </w:rPr>
        <w:t xml:space="preserve">. </w:t>
      </w:r>
      <w:r w:rsidR="00C9247C">
        <w:rPr>
          <w:rFonts w:eastAsia="Calibri"/>
          <w:sz w:val="24"/>
          <w:szCs w:val="24"/>
          <w:lang w:val="en-ZA"/>
        </w:rPr>
        <w:t xml:space="preserve">Once approved by </w:t>
      </w:r>
      <w:r w:rsidR="00C9247C" w:rsidRPr="00D25C85">
        <w:rPr>
          <w:rFonts w:eastAsia="Calibri"/>
          <w:sz w:val="24"/>
          <w:szCs w:val="24"/>
          <w:lang w:val="en-ZA"/>
        </w:rPr>
        <w:t>MINMEC</w:t>
      </w:r>
      <w:r w:rsidR="00D25C85" w:rsidRPr="00D25C85">
        <w:rPr>
          <w:rFonts w:eastAsia="Calibri"/>
          <w:sz w:val="24"/>
          <w:szCs w:val="24"/>
          <w:lang w:val="en-ZA"/>
        </w:rPr>
        <w:t xml:space="preserve">, </w:t>
      </w:r>
      <w:r w:rsidR="00C9247C">
        <w:rPr>
          <w:rFonts w:eastAsia="Calibri"/>
          <w:sz w:val="24"/>
          <w:szCs w:val="24"/>
          <w:lang w:val="en-ZA"/>
        </w:rPr>
        <w:t xml:space="preserve">the </w:t>
      </w:r>
      <w:r w:rsidR="00D25C85" w:rsidRPr="00D25C85">
        <w:rPr>
          <w:rFonts w:eastAsia="Calibri"/>
          <w:sz w:val="24"/>
          <w:szCs w:val="24"/>
          <w:lang w:val="en-ZA"/>
        </w:rPr>
        <w:t>draft document will be submitted to Cabinet for approval to publish the Paper for broader public comments.</w:t>
      </w:r>
    </w:p>
    <w:p w:rsidR="00A4133B" w:rsidRDefault="00A4133B" w:rsidP="00A4133B">
      <w:pPr>
        <w:spacing w:line="360" w:lineRule="auto"/>
        <w:ind w:left="720"/>
        <w:rPr>
          <w:rFonts w:eastAsia="Calibri"/>
          <w:sz w:val="24"/>
          <w:szCs w:val="24"/>
          <w:lang w:val="en-ZA"/>
        </w:rPr>
      </w:pPr>
    </w:p>
    <w:p w:rsidR="00F14C02" w:rsidRPr="00F14C02" w:rsidRDefault="00F14C02" w:rsidP="00EB6AA1">
      <w:pPr>
        <w:spacing w:line="480" w:lineRule="auto"/>
        <w:ind w:left="720" w:hanging="720"/>
        <w:jc w:val="both"/>
        <w:rPr>
          <w:sz w:val="24"/>
          <w:szCs w:val="24"/>
        </w:rPr>
      </w:pPr>
    </w:p>
    <w:sectPr w:rsidR="00F14C02" w:rsidRPr="00F14C02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892" w:rsidRDefault="00737892" w:rsidP="00054FEC">
      <w:r>
        <w:separator/>
      </w:r>
    </w:p>
  </w:endnote>
  <w:endnote w:type="continuationSeparator" w:id="0">
    <w:p w:rsidR="00737892" w:rsidRDefault="00737892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892" w:rsidRDefault="00737892" w:rsidP="00054FEC">
      <w:r>
        <w:separator/>
      </w:r>
    </w:p>
  </w:footnote>
  <w:footnote w:type="continuationSeparator" w:id="0">
    <w:p w:rsidR="00737892" w:rsidRDefault="00737892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 xml:space="preserve">Question </w:t>
    </w:r>
    <w:r w:rsidR="00186A1C">
      <w:t>4</w:t>
    </w:r>
    <w:r w:rsidR="00EE293E">
      <w:t>41</w:t>
    </w:r>
    <w:r w:rsidR="00C57AC2" w:rsidRPr="00526E7D">
      <w:t xml:space="preserve"> </w:t>
    </w:r>
    <w:r w:rsidRPr="00526E7D">
      <w:t xml:space="preserve">for </w:t>
    </w:r>
    <w:r w:rsidR="007B0903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</w:lvl>
    <w:lvl w:ilvl="3" w:tplc="1C09000F" w:tentative="1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8"/>
  </w:num>
  <w:num w:numId="5">
    <w:abstractNumId w:val="14"/>
  </w:num>
  <w:num w:numId="6">
    <w:abstractNumId w:val="7"/>
  </w:num>
  <w:num w:numId="7">
    <w:abstractNumId w:val="5"/>
  </w:num>
  <w:num w:numId="8">
    <w:abstractNumId w:val="10"/>
  </w:num>
  <w:num w:numId="9">
    <w:abstractNumId w:val="1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2"/>
  </w:num>
  <w:num w:numId="14">
    <w:abstractNumId w:val="15"/>
  </w:num>
  <w:num w:numId="15">
    <w:abstractNumId w:val="1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0"/>
  </w:num>
  <w:num w:numId="20">
    <w:abstractNumId w:val="20"/>
  </w:num>
  <w:num w:numId="21">
    <w:abstractNumId w:val="9"/>
  </w:num>
  <w:num w:numId="22">
    <w:abstractNumId w:val="2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13C46"/>
    <w:rsid w:val="000151AE"/>
    <w:rsid w:val="000163B0"/>
    <w:rsid w:val="00042C5B"/>
    <w:rsid w:val="000542DB"/>
    <w:rsid w:val="00054FEC"/>
    <w:rsid w:val="0005651C"/>
    <w:rsid w:val="00061B5C"/>
    <w:rsid w:val="00063111"/>
    <w:rsid w:val="00084A46"/>
    <w:rsid w:val="00085A2A"/>
    <w:rsid w:val="000874C5"/>
    <w:rsid w:val="00096F1F"/>
    <w:rsid w:val="000B2098"/>
    <w:rsid w:val="000B2CEC"/>
    <w:rsid w:val="000B4AC5"/>
    <w:rsid w:val="000C37CD"/>
    <w:rsid w:val="000D5E18"/>
    <w:rsid w:val="000E0847"/>
    <w:rsid w:val="000E238C"/>
    <w:rsid w:val="000E3FFE"/>
    <w:rsid w:val="000E79B5"/>
    <w:rsid w:val="001005E9"/>
    <w:rsid w:val="00112E92"/>
    <w:rsid w:val="00113198"/>
    <w:rsid w:val="0012375B"/>
    <w:rsid w:val="00131BFD"/>
    <w:rsid w:val="00134648"/>
    <w:rsid w:val="001355B6"/>
    <w:rsid w:val="00143801"/>
    <w:rsid w:val="00183267"/>
    <w:rsid w:val="00183333"/>
    <w:rsid w:val="00185C4D"/>
    <w:rsid w:val="00186A1C"/>
    <w:rsid w:val="0019692B"/>
    <w:rsid w:val="001A1C58"/>
    <w:rsid w:val="001A37B9"/>
    <w:rsid w:val="001B46D4"/>
    <w:rsid w:val="001C51E0"/>
    <w:rsid w:val="001E77A7"/>
    <w:rsid w:val="001F17FC"/>
    <w:rsid w:val="00203262"/>
    <w:rsid w:val="00221ABD"/>
    <w:rsid w:val="0023124F"/>
    <w:rsid w:val="00244322"/>
    <w:rsid w:val="00245CEE"/>
    <w:rsid w:val="002565C1"/>
    <w:rsid w:val="00257C83"/>
    <w:rsid w:val="00273F15"/>
    <w:rsid w:val="002922CE"/>
    <w:rsid w:val="002962EB"/>
    <w:rsid w:val="0029651C"/>
    <w:rsid w:val="002E39B0"/>
    <w:rsid w:val="002F5182"/>
    <w:rsid w:val="002F729C"/>
    <w:rsid w:val="00323C61"/>
    <w:rsid w:val="00326ADE"/>
    <w:rsid w:val="00332EDA"/>
    <w:rsid w:val="003639EF"/>
    <w:rsid w:val="00386EBC"/>
    <w:rsid w:val="00391B22"/>
    <w:rsid w:val="003944E9"/>
    <w:rsid w:val="00397799"/>
    <w:rsid w:val="003A0C97"/>
    <w:rsid w:val="003A48E1"/>
    <w:rsid w:val="003B7EF6"/>
    <w:rsid w:val="003E22FA"/>
    <w:rsid w:val="003F3D4B"/>
    <w:rsid w:val="003F40BD"/>
    <w:rsid w:val="003F4CED"/>
    <w:rsid w:val="003F5497"/>
    <w:rsid w:val="00411FA8"/>
    <w:rsid w:val="004171D3"/>
    <w:rsid w:val="00421215"/>
    <w:rsid w:val="00424270"/>
    <w:rsid w:val="00430FBB"/>
    <w:rsid w:val="00435C33"/>
    <w:rsid w:val="00437973"/>
    <w:rsid w:val="00442C28"/>
    <w:rsid w:val="00442F09"/>
    <w:rsid w:val="0044715C"/>
    <w:rsid w:val="00453E58"/>
    <w:rsid w:val="00461532"/>
    <w:rsid w:val="004622F2"/>
    <w:rsid w:val="00466A67"/>
    <w:rsid w:val="00472722"/>
    <w:rsid w:val="00481F38"/>
    <w:rsid w:val="004A27DE"/>
    <w:rsid w:val="004A7396"/>
    <w:rsid w:val="004B54E9"/>
    <w:rsid w:val="004E1009"/>
    <w:rsid w:val="004F5117"/>
    <w:rsid w:val="00511D74"/>
    <w:rsid w:val="00513641"/>
    <w:rsid w:val="00513FB0"/>
    <w:rsid w:val="0051632D"/>
    <w:rsid w:val="005178B4"/>
    <w:rsid w:val="0052258E"/>
    <w:rsid w:val="005234F9"/>
    <w:rsid w:val="00526E7D"/>
    <w:rsid w:val="00533718"/>
    <w:rsid w:val="00543861"/>
    <w:rsid w:val="005440D3"/>
    <w:rsid w:val="0055709D"/>
    <w:rsid w:val="00560363"/>
    <w:rsid w:val="00560DCE"/>
    <w:rsid w:val="00566589"/>
    <w:rsid w:val="00570338"/>
    <w:rsid w:val="005704CF"/>
    <w:rsid w:val="0057143F"/>
    <w:rsid w:val="00577200"/>
    <w:rsid w:val="0058155B"/>
    <w:rsid w:val="00585030"/>
    <w:rsid w:val="0059567A"/>
    <w:rsid w:val="005A0373"/>
    <w:rsid w:val="005A09D3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1173D"/>
    <w:rsid w:val="00622769"/>
    <w:rsid w:val="006315F4"/>
    <w:rsid w:val="00634815"/>
    <w:rsid w:val="0064604A"/>
    <w:rsid w:val="00650769"/>
    <w:rsid w:val="0065307F"/>
    <w:rsid w:val="006559CC"/>
    <w:rsid w:val="00657FAD"/>
    <w:rsid w:val="0066539C"/>
    <w:rsid w:val="006862AD"/>
    <w:rsid w:val="006932BB"/>
    <w:rsid w:val="006A3A9B"/>
    <w:rsid w:val="006A50C0"/>
    <w:rsid w:val="006B057C"/>
    <w:rsid w:val="006B1158"/>
    <w:rsid w:val="006C4112"/>
    <w:rsid w:val="006C7F54"/>
    <w:rsid w:val="006D4535"/>
    <w:rsid w:val="006D564E"/>
    <w:rsid w:val="006D638D"/>
    <w:rsid w:val="006F111A"/>
    <w:rsid w:val="006F35CD"/>
    <w:rsid w:val="006F4B1B"/>
    <w:rsid w:val="006F64F8"/>
    <w:rsid w:val="00704183"/>
    <w:rsid w:val="00722FEC"/>
    <w:rsid w:val="007241DD"/>
    <w:rsid w:val="00731E1C"/>
    <w:rsid w:val="00737892"/>
    <w:rsid w:val="00740E7D"/>
    <w:rsid w:val="007468D2"/>
    <w:rsid w:val="00751A45"/>
    <w:rsid w:val="00755D11"/>
    <w:rsid w:val="00762CB4"/>
    <w:rsid w:val="00766475"/>
    <w:rsid w:val="00766CE9"/>
    <w:rsid w:val="00773002"/>
    <w:rsid w:val="00797914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7F436C"/>
    <w:rsid w:val="007F621E"/>
    <w:rsid w:val="00821539"/>
    <w:rsid w:val="00826D26"/>
    <w:rsid w:val="008279FC"/>
    <w:rsid w:val="00845006"/>
    <w:rsid w:val="00852F18"/>
    <w:rsid w:val="008575F4"/>
    <w:rsid w:val="00857E10"/>
    <w:rsid w:val="008709EB"/>
    <w:rsid w:val="0087209D"/>
    <w:rsid w:val="00873BDC"/>
    <w:rsid w:val="00895D3F"/>
    <w:rsid w:val="008B2848"/>
    <w:rsid w:val="008D4969"/>
    <w:rsid w:val="008E39AE"/>
    <w:rsid w:val="008E4498"/>
    <w:rsid w:val="008F0741"/>
    <w:rsid w:val="008F3F23"/>
    <w:rsid w:val="008F3FE5"/>
    <w:rsid w:val="00904841"/>
    <w:rsid w:val="00907BDD"/>
    <w:rsid w:val="00916792"/>
    <w:rsid w:val="00925A3A"/>
    <w:rsid w:val="00927BDA"/>
    <w:rsid w:val="00933DC0"/>
    <w:rsid w:val="009358D8"/>
    <w:rsid w:val="00954574"/>
    <w:rsid w:val="00972777"/>
    <w:rsid w:val="00984A0C"/>
    <w:rsid w:val="00991B77"/>
    <w:rsid w:val="009924B5"/>
    <w:rsid w:val="009B6B68"/>
    <w:rsid w:val="009C6091"/>
    <w:rsid w:val="009D5DC1"/>
    <w:rsid w:val="009F104A"/>
    <w:rsid w:val="009F20BA"/>
    <w:rsid w:val="009F5B5D"/>
    <w:rsid w:val="00A07114"/>
    <w:rsid w:val="00A10986"/>
    <w:rsid w:val="00A36D94"/>
    <w:rsid w:val="00A4133B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C0B56"/>
    <w:rsid w:val="00AC5723"/>
    <w:rsid w:val="00AC7738"/>
    <w:rsid w:val="00AE05EB"/>
    <w:rsid w:val="00AE0DBB"/>
    <w:rsid w:val="00AE1377"/>
    <w:rsid w:val="00AE343F"/>
    <w:rsid w:val="00AE5063"/>
    <w:rsid w:val="00AE6436"/>
    <w:rsid w:val="00AF266B"/>
    <w:rsid w:val="00B11A62"/>
    <w:rsid w:val="00B165F7"/>
    <w:rsid w:val="00B17FB7"/>
    <w:rsid w:val="00B253A0"/>
    <w:rsid w:val="00B3353C"/>
    <w:rsid w:val="00B346B6"/>
    <w:rsid w:val="00B35035"/>
    <w:rsid w:val="00B41BED"/>
    <w:rsid w:val="00B43005"/>
    <w:rsid w:val="00B471B1"/>
    <w:rsid w:val="00B57E32"/>
    <w:rsid w:val="00B6537F"/>
    <w:rsid w:val="00B653F5"/>
    <w:rsid w:val="00B72DD5"/>
    <w:rsid w:val="00B86677"/>
    <w:rsid w:val="00B969FE"/>
    <w:rsid w:val="00BA1CD4"/>
    <w:rsid w:val="00BA1D02"/>
    <w:rsid w:val="00BC2B00"/>
    <w:rsid w:val="00BC33E3"/>
    <w:rsid w:val="00BD39FB"/>
    <w:rsid w:val="00BE2758"/>
    <w:rsid w:val="00BE35AA"/>
    <w:rsid w:val="00BF3EE7"/>
    <w:rsid w:val="00C0359C"/>
    <w:rsid w:val="00C103F1"/>
    <w:rsid w:val="00C21B68"/>
    <w:rsid w:val="00C24092"/>
    <w:rsid w:val="00C339A4"/>
    <w:rsid w:val="00C34FD1"/>
    <w:rsid w:val="00C373B4"/>
    <w:rsid w:val="00C45207"/>
    <w:rsid w:val="00C52AA3"/>
    <w:rsid w:val="00C576FE"/>
    <w:rsid w:val="00C57AC2"/>
    <w:rsid w:val="00C9247C"/>
    <w:rsid w:val="00C927F2"/>
    <w:rsid w:val="00C960DE"/>
    <w:rsid w:val="00CA1F73"/>
    <w:rsid w:val="00CA6FA2"/>
    <w:rsid w:val="00CB24C2"/>
    <w:rsid w:val="00CD1450"/>
    <w:rsid w:val="00CD26AC"/>
    <w:rsid w:val="00CE087F"/>
    <w:rsid w:val="00CF1C13"/>
    <w:rsid w:val="00CF71B4"/>
    <w:rsid w:val="00D0696F"/>
    <w:rsid w:val="00D10D98"/>
    <w:rsid w:val="00D128B0"/>
    <w:rsid w:val="00D17FE3"/>
    <w:rsid w:val="00D20F5C"/>
    <w:rsid w:val="00D23AD0"/>
    <w:rsid w:val="00D24DE1"/>
    <w:rsid w:val="00D25293"/>
    <w:rsid w:val="00D25C85"/>
    <w:rsid w:val="00D26F9E"/>
    <w:rsid w:val="00D369F6"/>
    <w:rsid w:val="00D37F9B"/>
    <w:rsid w:val="00D4028D"/>
    <w:rsid w:val="00D47AF6"/>
    <w:rsid w:val="00D61B85"/>
    <w:rsid w:val="00D6500F"/>
    <w:rsid w:val="00D70A77"/>
    <w:rsid w:val="00D74382"/>
    <w:rsid w:val="00D849FF"/>
    <w:rsid w:val="00DA0BDC"/>
    <w:rsid w:val="00DB59D7"/>
    <w:rsid w:val="00DB75E0"/>
    <w:rsid w:val="00DC65B6"/>
    <w:rsid w:val="00DD7501"/>
    <w:rsid w:val="00DE6494"/>
    <w:rsid w:val="00DF24A7"/>
    <w:rsid w:val="00DF79D0"/>
    <w:rsid w:val="00E06306"/>
    <w:rsid w:val="00E154EB"/>
    <w:rsid w:val="00E17DD6"/>
    <w:rsid w:val="00E2469A"/>
    <w:rsid w:val="00E32382"/>
    <w:rsid w:val="00E40762"/>
    <w:rsid w:val="00E56AB4"/>
    <w:rsid w:val="00E65C78"/>
    <w:rsid w:val="00E65E8A"/>
    <w:rsid w:val="00E67E28"/>
    <w:rsid w:val="00E843C3"/>
    <w:rsid w:val="00E84932"/>
    <w:rsid w:val="00EB6AA1"/>
    <w:rsid w:val="00EC171E"/>
    <w:rsid w:val="00EC5D81"/>
    <w:rsid w:val="00ED1F97"/>
    <w:rsid w:val="00ED344E"/>
    <w:rsid w:val="00EE293E"/>
    <w:rsid w:val="00EE300B"/>
    <w:rsid w:val="00EE37B5"/>
    <w:rsid w:val="00F00ACC"/>
    <w:rsid w:val="00F14C02"/>
    <w:rsid w:val="00F17697"/>
    <w:rsid w:val="00F3479A"/>
    <w:rsid w:val="00F363E4"/>
    <w:rsid w:val="00F374AD"/>
    <w:rsid w:val="00F41641"/>
    <w:rsid w:val="00F60C74"/>
    <w:rsid w:val="00F61C46"/>
    <w:rsid w:val="00F61D4C"/>
    <w:rsid w:val="00FA0083"/>
    <w:rsid w:val="00FA12D4"/>
    <w:rsid w:val="00FA759C"/>
    <w:rsid w:val="00FB0AF3"/>
    <w:rsid w:val="00FC284E"/>
    <w:rsid w:val="00FC3417"/>
    <w:rsid w:val="00FC5855"/>
    <w:rsid w:val="00FC7327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NormalWeb">
    <w:name w:val="Normal (Web)"/>
    <w:basedOn w:val="Normal"/>
    <w:uiPriority w:val="99"/>
    <w:rsid w:val="00D20F5C"/>
    <w:pPr>
      <w:spacing w:before="100" w:beforeAutospacing="1" w:after="100" w:afterAutospacing="1"/>
    </w:pPr>
    <w:rPr>
      <w:rFonts w:eastAsia="Cambria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2016-04-26T14:17:00Z</cp:lastPrinted>
  <dcterms:created xsi:type="dcterms:W3CDTF">2016-05-31T10:08:00Z</dcterms:created>
  <dcterms:modified xsi:type="dcterms:W3CDTF">2016-05-31T10:08:00Z</dcterms:modified>
</cp:coreProperties>
</file>