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29D" w:rsidRPr="008E40CC" w:rsidRDefault="00E7029D" w:rsidP="008E40CC">
      <w:pPr>
        <w:tabs>
          <w:tab w:val="left" w:pos="432"/>
          <w:tab w:val="left" w:pos="864"/>
        </w:tabs>
        <w:spacing w:before="100" w:beforeAutospacing="1" w:line="276" w:lineRule="auto"/>
        <w:jc w:val="center"/>
        <w:rPr>
          <w:rFonts w:ascii="Arial" w:hAnsi="Arial" w:cs="Arial"/>
          <w:b/>
          <w:sz w:val="22"/>
          <w:szCs w:val="22"/>
        </w:rPr>
      </w:pPr>
      <w:r w:rsidRPr="008E40CC">
        <w:rPr>
          <w:rFonts w:ascii="Arial" w:hAnsi="Arial" w:cs="Arial"/>
          <w:b/>
          <w:sz w:val="22"/>
          <w:szCs w:val="22"/>
        </w:rPr>
        <w:t>NATIONAL ASSEMBLY</w:t>
      </w:r>
    </w:p>
    <w:p w:rsidR="00E7029D" w:rsidRPr="008E40CC" w:rsidRDefault="00E7029D"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QUESTION FOR WRITTEN REPLY</w:t>
      </w:r>
    </w:p>
    <w:p w:rsidR="00E7029D" w:rsidRPr="00F4296D" w:rsidRDefault="00E7029D" w:rsidP="008E40CC">
      <w:pPr>
        <w:tabs>
          <w:tab w:val="left" w:pos="432"/>
          <w:tab w:val="left" w:pos="864"/>
        </w:tabs>
        <w:spacing w:before="100" w:beforeAutospacing="1" w:line="276" w:lineRule="auto"/>
        <w:ind w:left="720" w:hanging="720"/>
        <w:jc w:val="center"/>
        <w:rPr>
          <w:rFonts w:ascii="Arial" w:hAnsi="Arial" w:cs="Arial"/>
          <w:b/>
          <w:sz w:val="22"/>
          <w:szCs w:val="22"/>
        </w:rPr>
      </w:pPr>
      <w:r w:rsidRPr="008E40CC">
        <w:rPr>
          <w:rFonts w:ascii="Arial" w:hAnsi="Arial" w:cs="Arial"/>
          <w:b/>
          <w:sz w:val="22"/>
          <w:szCs w:val="22"/>
        </w:rPr>
        <w:t xml:space="preserve">QUESTION NUMBER: </w:t>
      </w:r>
      <w:r w:rsidRPr="00F4296D">
        <w:rPr>
          <w:rFonts w:ascii="Arial" w:hAnsi="Arial" w:cs="Arial"/>
          <w:b/>
          <w:sz w:val="22"/>
          <w:szCs w:val="22"/>
        </w:rPr>
        <w:t>44 [NW44E]</w:t>
      </w:r>
    </w:p>
    <w:p w:rsidR="00E7029D" w:rsidRPr="00F4296D" w:rsidRDefault="00E7029D" w:rsidP="008E40CC">
      <w:pPr>
        <w:pStyle w:val="Heading1"/>
        <w:spacing w:line="276" w:lineRule="auto"/>
        <w:ind w:hanging="720"/>
        <w:rPr>
          <w:rFonts w:ascii="Arial" w:hAnsi="Arial" w:cs="Arial"/>
          <w:sz w:val="22"/>
          <w:szCs w:val="22"/>
        </w:rPr>
      </w:pPr>
      <w:r w:rsidRPr="00F4296D">
        <w:rPr>
          <w:rFonts w:ascii="Arial" w:hAnsi="Arial" w:cs="Arial"/>
          <w:sz w:val="22"/>
          <w:szCs w:val="22"/>
        </w:rPr>
        <w:t>DATE OF PUBLICATION: 11 FEBRUARY 2016</w:t>
      </w:r>
    </w:p>
    <w:p w:rsidR="00E7029D" w:rsidRPr="008E40CC" w:rsidRDefault="00E7029D" w:rsidP="008E40CC">
      <w:pPr>
        <w:tabs>
          <w:tab w:val="left" w:pos="432"/>
          <w:tab w:val="left" w:pos="864"/>
        </w:tabs>
        <w:spacing w:line="276" w:lineRule="auto"/>
        <w:ind w:left="720"/>
        <w:rPr>
          <w:rFonts w:ascii="Arial" w:hAnsi="Arial" w:cs="Arial"/>
          <w:b/>
          <w:sz w:val="22"/>
          <w:szCs w:val="22"/>
        </w:rPr>
      </w:pPr>
    </w:p>
    <w:p w:rsidR="00E7029D" w:rsidRPr="00F4296D" w:rsidRDefault="00E7029D" w:rsidP="00F4296D">
      <w:pPr>
        <w:spacing w:before="100" w:beforeAutospacing="1" w:after="100" w:afterAutospacing="1" w:line="276" w:lineRule="auto"/>
        <w:ind w:left="709" w:hanging="720"/>
        <w:jc w:val="both"/>
        <w:outlineLvl w:val="0"/>
        <w:rPr>
          <w:rFonts w:ascii="Arial" w:hAnsi="Arial" w:cs="Arial"/>
          <w:b/>
          <w:bCs/>
          <w:sz w:val="22"/>
          <w:szCs w:val="22"/>
          <w:lang w:val="af-ZA"/>
        </w:rPr>
      </w:pPr>
      <w:r w:rsidRPr="00F4296D">
        <w:rPr>
          <w:b/>
          <w:bCs/>
          <w:lang w:val="af-ZA"/>
        </w:rPr>
        <w:t>44.</w:t>
      </w:r>
      <w:r w:rsidRPr="00F4296D">
        <w:rPr>
          <w:rFonts w:ascii="Arial" w:hAnsi="Arial" w:cs="Arial"/>
          <w:b/>
          <w:bCs/>
          <w:sz w:val="22"/>
          <w:szCs w:val="22"/>
          <w:lang w:val="af-ZA"/>
        </w:rPr>
        <w:tab/>
        <w:t>Mr D J Maynier (DA) to ask the Minister of Finance:</w:t>
      </w:r>
    </w:p>
    <w:p w:rsidR="00E7029D" w:rsidRPr="00F4296D" w:rsidRDefault="00E7029D" w:rsidP="00F4296D">
      <w:pPr>
        <w:spacing w:before="100" w:beforeAutospacing="1" w:after="100" w:afterAutospacing="1" w:line="276" w:lineRule="auto"/>
        <w:ind w:left="709" w:hanging="709"/>
        <w:jc w:val="both"/>
        <w:rPr>
          <w:rFonts w:ascii="Arial" w:hAnsi="Arial" w:cs="Arial"/>
          <w:sz w:val="22"/>
          <w:szCs w:val="22"/>
          <w:lang w:val="en-ZA"/>
        </w:rPr>
      </w:pPr>
      <w:r w:rsidRPr="00F4296D">
        <w:rPr>
          <w:rFonts w:ascii="Arial" w:hAnsi="Arial" w:cs="Arial"/>
          <w:color w:val="000000"/>
          <w:sz w:val="22"/>
          <w:szCs w:val="22"/>
          <w:lang w:val="af-ZA"/>
        </w:rPr>
        <w:t>(1)</w:t>
      </w:r>
      <w:r w:rsidRPr="00F4296D">
        <w:rPr>
          <w:rFonts w:ascii="Arial" w:hAnsi="Arial" w:cs="Arial"/>
          <w:color w:val="000000"/>
          <w:sz w:val="22"/>
          <w:szCs w:val="22"/>
          <w:lang w:val="af-ZA"/>
        </w:rPr>
        <w:tab/>
        <w:t>Whether the Public Investment Corporation (PIC) (a) was consulted about any financial transaction, (b) entered into any financial transactions and/or (c) advised on any financial transaction in respect of (i) Tegeta Exploration and Resources, (ii) Oakbay Investments (Pty) Ltd and/or (iii) any subsidiaries of Oakbay Investments (Pty) Ltd; if not, in each specified case, why not; if so, in each specified case, what are the relevant details;</w:t>
      </w:r>
    </w:p>
    <w:p w:rsidR="00E7029D" w:rsidRDefault="00E7029D" w:rsidP="00F4296D">
      <w:pPr>
        <w:spacing w:before="100" w:beforeAutospacing="1" w:after="100" w:afterAutospacing="1" w:line="276" w:lineRule="auto"/>
        <w:ind w:left="709" w:hanging="709"/>
        <w:jc w:val="both"/>
        <w:rPr>
          <w:rFonts w:ascii="Arial" w:hAnsi="Arial" w:cs="Arial"/>
          <w:color w:val="000000"/>
          <w:sz w:val="22"/>
          <w:szCs w:val="22"/>
          <w:lang w:val="af-ZA"/>
        </w:rPr>
      </w:pPr>
      <w:r w:rsidRPr="00F4296D">
        <w:rPr>
          <w:rFonts w:ascii="Arial" w:hAnsi="Arial" w:cs="Arial"/>
          <w:color w:val="000000"/>
          <w:sz w:val="22"/>
          <w:szCs w:val="22"/>
          <w:lang w:val="af-ZA"/>
        </w:rPr>
        <w:t>(2)</w:t>
      </w:r>
      <w:r w:rsidRPr="00F4296D">
        <w:rPr>
          <w:rFonts w:ascii="Arial" w:hAnsi="Arial" w:cs="Arial"/>
          <w:color w:val="000000"/>
          <w:sz w:val="22"/>
          <w:szCs w:val="22"/>
          <w:lang w:val="af-ZA"/>
        </w:rPr>
        <w:tab/>
        <w:t>whether the PIC played any role in the purchase of Optimum Coal Holdings Limited; if not, why not; if so, what are the relevant details?</w:t>
      </w:r>
      <w:r w:rsidRPr="00F4296D">
        <w:rPr>
          <w:rFonts w:ascii="Arial" w:hAnsi="Arial" w:cs="Arial"/>
          <w:color w:val="000000"/>
          <w:sz w:val="22"/>
          <w:szCs w:val="22"/>
          <w:lang w:val="af-ZA"/>
        </w:rPr>
        <w:tab/>
      </w:r>
    </w:p>
    <w:p w:rsidR="00E7029D" w:rsidRPr="00F4296D" w:rsidRDefault="00E7029D" w:rsidP="00F4296D">
      <w:pPr>
        <w:spacing w:before="100" w:beforeAutospacing="1" w:after="100" w:afterAutospacing="1" w:line="276" w:lineRule="auto"/>
        <w:ind w:left="7200" w:firstLine="720"/>
        <w:jc w:val="both"/>
        <w:rPr>
          <w:rFonts w:ascii="Arial" w:hAnsi="Arial" w:cs="Arial"/>
          <w:sz w:val="22"/>
          <w:szCs w:val="22"/>
          <w:lang w:val="af-ZA"/>
        </w:rPr>
      </w:pPr>
      <w:r w:rsidRPr="00F4296D">
        <w:rPr>
          <w:rFonts w:ascii="Arial" w:hAnsi="Arial" w:cs="Arial"/>
          <w:sz w:val="22"/>
          <w:szCs w:val="22"/>
          <w:lang w:val="af-ZA"/>
        </w:rPr>
        <w:t>NW44E</w:t>
      </w:r>
    </w:p>
    <w:p w:rsidR="00E7029D" w:rsidRPr="008E40CC" w:rsidRDefault="00E7029D" w:rsidP="008E40CC">
      <w:pPr>
        <w:spacing w:before="100" w:beforeAutospacing="1" w:after="100" w:afterAutospacing="1" w:line="276" w:lineRule="auto"/>
        <w:jc w:val="both"/>
        <w:rPr>
          <w:rFonts w:ascii="Arial" w:hAnsi="Arial" w:cs="Arial"/>
          <w:b/>
          <w:sz w:val="22"/>
          <w:szCs w:val="22"/>
        </w:rPr>
      </w:pPr>
      <w:r w:rsidRPr="008E40CC">
        <w:rPr>
          <w:rFonts w:ascii="Arial" w:hAnsi="Arial" w:cs="Arial"/>
          <w:b/>
          <w:sz w:val="22"/>
          <w:szCs w:val="22"/>
        </w:rPr>
        <w:t>REPLY:</w:t>
      </w:r>
    </w:p>
    <w:p w:rsidR="00E7029D" w:rsidRDefault="00E7029D" w:rsidP="00B82090">
      <w:pPr>
        <w:spacing w:line="276" w:lineRule="auto"/>
        <w:ind w:left="2160" w:hanging="2160"/>
        <w:jc w:val="both"/>
        <w:rPr>
          <w:rFonts w:ascii="Arial" w:hAnsi="Arial" w:cs="Arial"/>
          <w:sz w:val="22"/>
          <w:szCs w:val="22"/>
        </w:rPr>
      </w:pPr>
      <w:r>
        <w:rPr>
          <w:rFonts w:ascii="Arial" w:hAnsi="Arial" w:cs="Arial"/>
          <w:sz w:val="22"/>
          <w:szCs w:val="22"/>
        </w:rPr>
        <w:t>I am informed by the Public Investment Corporation (PIC) that:</w:t>
      </w:r>
    </w:p>
    <w:p w:rsidR="00E7029D" w:rsidRDefault="00E7029D" w:rsidP="00B82090">
      <w:pPr>
        <w:spacing w:line="276" w:lineRule="auto"/>
        <w:ind w:left="2160" w:hanging="2160"/>
        <w:jc w:val="both"/>
        <w:rPr>
          <w:rFonts w:ascii="Arial" w:hAnsi="Arial" w:cs="Arial"/>
          <w:sz w:val="22"/>
          <w:szCs w:val="22"/>
        </w:rPr>
      </w:pPr>
    </w:p>
    <w:p w:rsidR="00E7029D" w:rsidRDefault="00E7029D" w:rsidP="00CA070E">
      <w:pPr>
        <w:spacing w:line="276" w:lineRule="auto"/>
        <w:ind w:left="2160" w:hanging="2160"/>
        <w:jc w:val="both"/>
        <w:rPr>
          <w:rFonts w:ascii="Arial" w:hAnsi="Arial" w:cs="Arial"/>
          <w:sz w:val="22"/>
          <w:szCs w:val="22"/>
        </w:rPr>
      </w:pPr>
      <w:r>
        <w:rPr>
          <w:rFonts w:ascii="Arial" w:hAnsi="Arial" w:cs="Arial"/>
          <w:sz w:val="22"/>
          <w:szCs w:val="22"/>
        </w:rPr>
        <w:t>(1)(a), (b) and (c)</w:t>
      </w:r>
      <w:r>
        <w:rPr>
          <w:rFonts w:ascii="Arial" w:hAnsi="Arial" w:cs="Arial"/>
          <w:sz w:val="22"/>
          <w:szCs w:val="22"/>
        </w:rPr>
        <w:tab/>
        <w:t>The Public Investment Corporation (PIC) was not consulted about;</w:t>
      </w:r>
      <w:bookmarkStart w:id="0" w:name="_GoBack"/>
      <w:bookmarkEnd w:id="0"/>
      <w:r>
        <w:rPr>
          <w:rFonts w:ascii="Arial" w:hAnsi="Arial" w:cs="Arial"/>
          <w:sz w:val="22"/>
          <w:szCs w:val="22"/>
        </w:rPr>
        <w:t xml:space="preserve"> did not enter into, and did not advice on any financial transaction that involves any of the entities mentioned in the question, as the PIC was not approached by any of these entities.</w:t>
      </w:r>
    </w:p>
    <w:p w:rsidR="00E7029D" w:rsidRDefault="00E7029D" w:rsidP="00B82090">
      <w:pPr>
        <w:spacing w:line="276" w:lineRule="auto"/>
        <w:ind w:left="2160" w:hanging="2160"/>
        <w:rPr>
          <w:rFonts w:ascii="Arial" w:hAnsi="Arial" w:cs="Arial"/>
          <w:sz w:val="22"/>
          <w:szCs w:val="22"/>
        </w:rPr>
      </w:pPr>
    </w:p>
    <w:p w:rsidR="00E7029D" w:rsidRDefault="00E7029D" w:rsidP="00B82090">
      <w:pPr>
        <w:spacing w:line="276" w:lineRule="auto"/>
        <w:ind w:left="2160" w:hanging="2160"/>
        <w:rPr>
          <w:rFonts w:ascii="Arial" w:hAnsi="Arial" w:cs="Arial"/>
          <w:sz w:val="22"/>
          <w:szCs w:val="22"/>
        </w:rPr>
      </w:pPr>
      <w:r>
        <w:rPr>
          <w:rFonts w:ascii="Arial" w:hAnsi="Arial" w:cs="Arial"/>
          <w:sz w:val="22"/>
          <w:szCs w:val="22"/>
        </w:rPr>
        <w:t>(2)</w:t>
      </w:r>
      <w:r>
        <w:rPr>
          <w:rFonts w:ascii="Arial" w:hAnsi="Arial" w:cs="Arial"/>
          <w:sz w:val="22"/>
          <w:szCs w:val="22"/>
        </w:rPr>
        <w:tab/>
        <w:t>The PIC did not play any role in the Optimum Coal Holdings Limited transaction.</w:t>
      </w:r>
    </w:p>
    <w:p w:rsidR="00E7029D" w:rsidRDefault="00E7029D" w:rsidP="002C6BC9">
      <w:pPr>
        <w:spacing w:line="276" w:lineRule="auto"/>
        <w:ind w:left="2160" w:hanging="2160"/>
        <w:rPr>
          <w:rFonts w:ascii="Arial" w:hAnsi="Arial" w:cs="Arial"/>
          <w:sz w:val="22"/>
          <w:szCs w:val="22"/>
        </w:rPr>
      </w:pPr>
    </w:p>
    <w:p w:rsidR="00E7029D" w:rsidRDefault="00E7029D" w:rsidP="002C6BC9">
      <w:pPr>
        <w:spacing w:line="276" w:lineRule="auto"/>
        <w:ind w:left="2160" w:hanging="2160"/>
        <w:rPr>
          <w:rFonts w:ascii="Arial" w:hAnsi="Arial" w:cs="Arial"/>
          <w:sz w:val="22"/>
          <w:szCs w:val="22"/>
        </w:rPr>
      </w:pPr>
    </w:p>
    <w:p w:rsidR="00E7029D" w:rsidRPr="008E40CC" w:rsidRDefault="00E7029D" w:rsidP="008E40CC">
      <w:pPr>
        <w:spacing w:line="276" w:lineRule="auto"/>
        <w:jc w:val="both"/>
        <w:rPr>
          <w:rFonts w:ascii="Arial" w:hAnsi="Arial" w:cs="Arial"/>
          <w:b/>
          <w:sz w:val="22"/>
          <w:szCs w:val="22"/>
        </w:rPr>
      </w:pPr>
    </w:p>
    <w:sectPr w:rsidR="00E7029D" w:rsidRPr="008E40CC" w:rsidSect="00695A9A">
      <w:pgSz w:w="11909" w:h="16834" w:code="9"/>
      <w:pgMar w:top="899" w:right="1418" w:bottom="719" w:left="141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A02E4"/>
    <w:multiLevelType w:val="hybridMultilevel"/>
    <w:tmpl w:val="AF42FA66"/>
    <w:lvl w:ilvl="0" w:tplc="4C80301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2">
    <w:nsid w:val="15273BA7"/>
    <w:multiLevelType w:val="hybridMultilevel"/>
    <w:tmpl w:val="7048056A"/>
    <w:lvl w:ilvl="0" w:tplc="4510D2E6">
      <w:start w:val="1"/>
      <w:numFmt w:val="lowerLetter"/>
      <w:lvlText w:val="(%1)"/>
      <w:lvlJc w:val="left"/>
      <w:pPr>
        <w:ind w:left="720" w:hanging="360"/>
      </w:pPr>
      <w:rPr>
        <w:rFonts w:cs="Times New Roman"/>
      </w:rPr>
    </w:lvl>
    <w:lvl w:ilvl="1" w:tplc="1C090019">
      <w:start w:val="1"/>
      <w:numFmt w:val="lowerLetter"/>
      <w:lvlText w:val="%2."/>
      <w:lvlJc w:val="left"/>
      <w:pPr>
        <w:ind w:left="1440" w:hanging="360"/>
      </w:pPr>
      <w:rPr>
        <w:rFonts w:cs="Times New Roman"/>
      </w:rPr>
    </w:lvl>
    <w:lvl w:ilvl="2" w:tplc="1C09001B">
      <w:start w:val="1"/>
      <w:numFmt w:val="lowerRoman"/>
      <w:lvlText w:val="%3."/>
      <w:lvlJc w:val="right"/>
      <w:pPr>
        <w:ind w:left="2160" w:hanging="180"/>
      </w:pPr>
      <w:rPr>
        <w:rFonts w:cs="Times New Roman"/>
      </w:rPr>
    </w:lvl>
    <w:lvl w:ilvl="3" w:tplc="1C09000F">
      <w:start w:val="1"/>
      <w:numFmt w:val="decimal"/>
      <w:lvlText w:val="%4."/>
      <w:lvlJc w:val="left"/>
      <w:pPr>
        <w:ind w:left="2880" w:hanging="360"/>
      </w:pPr>
      <w:rPr>
        <w:rFonts w:cs="Times New Roman"/>
      </w:rPr>
    </w:lvl>
    <w:lvl w:ilvl="4" w:tplc="1C090019">
      <w:start w:val="1"/>
      <w:numFmt w:val="lowerLetter"/>
      <w:lvlText w:val="%5."/>
      <w:lvlJc w:val="left"/>
      <w:pPr>
        <w:ind w:left="3600" w:hanging="360"/>
      </w:pPr>
      <w:rPr>
        <w:rFonts w:cs="Times New Roman"/>
      </w:rPr>
    </w:lvl>
    <w:lvl w:ilvl="5" w:tplc="1C09001B">
      <w:start w:val="1"/>
      <w:numFmt w:val="lowerRoman"/>
      <w:lvlText w:val="%6."/>
      <w:lvlJc w:val="right"/>
      <w:pPr>
        <w:ind w:left="4320" w:hanging="180"/>
      </w:pPr>
      <w:rPr>
        <w:rFonts w:cs="Times New Roman"/>
      </w:rPr>
    </w:lvl>
    <w:lvl w:ilvl="6" w:tplc="1C09000F">
      <w:start w:val="1"/>
      <w:numFmt w:val="decimal"/>
      <w:lvlText w:val="%7."/>
      <w:lvlJc w:val="left"/>
      <w:pPr>
        <w:ind w:left="5040" w:hanging="360"/>
      </w:pPr>
      <w:rPr>
        <w:rFonts w:cs="Times New Roman"/>
      </w:rPr>
    </w:lvl>
    <w:lvl w:ilvl="7" w:tplc="1C090019">
      <w:start w:val="1"/>
      <w:numFmt w:val="lowerLetter"/>
      <w:lvlText w:val="%8."/>
      <w:lvlJc w:val="left"/>
      <w:pPr>
        <w:ind w:left="5760" w:hanging="360"/>
      </w:pPr>
      <w:rPr>
        <w:rFonts w:cs="Times New Roman"/>
      </w:rPr>
    </w:lvl>
    <w:lvl w:ilvl="8" w:tplc="1C09001B">
      <w:start w:val="1"/>
      <w:numFmt w:val="lowerRoman"/>
      <w:lvlText w:val="%9."/>
      <w:lvlJc w:val="right"/>
      <w:pPr>
        <w:ind w:left="6480"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4">
    <w:nsid w:val="1AE868D0"/>
    <w:multiLevelType w:val="hybridMultilevel"/>
    <w:tmpl w:val="7E64393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2BF7E7C"/>
    <w:multiLevelType w:val="multilevel"/>
    <w:tmpl w:val="1C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FE60EBA"/>
    <w:multiLevelType w:val="hybridMultilevel"/>
    <w:tmpl w:val="5E0C57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49627793"/>
    <w:multiLevelType w:val="hybridMultilevel"/>
    <w:tmpl w:val="F9BE78CC"/>
    <w:lvl w:ilvl="0" w:tplc="0409000F">
      <w:start w:val="1"/>
      <w:numFmt w:val="decimal"/>
      <w:lvlText w:val="%1."/>
      <w:lvlJc w:val="left"/>
      <w:pPr>
        <w:tabs>
          <w:tab w:val="num" w:pos="360"/>
        </w:tabs>
        <w:ind w:left="360" w:hanging="360"/>
      </w:pPr>
      <w:rPr>
        <w:rFonts w:cs="Times New Roman"/>
      </w:r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cs="Times New Roman" w:hint="default"/>
      </w:rPr>
    </w:lvl>
    <w:lvl w:ilvl="3" w:tplc="0409000F">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0">
    <w:nsid w:val="4C8D104B"/>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1">
    <w:nsid w:val="4CFA5D8E"/>
    <w:multiLevelType w:val="hybridMultilevel"/>
    <w:tmpl w:val="A31ABEA4"/>
    <w:lvl w:ilvl="0" w:tplc="1D140A18">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12">
    <w:nsid w:val="5D194692"/>
    <w:multiLevelType w:val="hybridMultilevel"/>
    <w:tmpl w:val="D34CA33A"/>
    <w:lvl w:ilvl="0" w:tplc="DA8E3A88">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60F26024"/>
    <w:multiLevelType w:val="hybridMultilevel"/>
    <w:tmpl w:val="556451BC"/>
    <w:lvl w:ilvl="0" w:tplc="E6443DB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63D361DC"/>
    <w:multiLevelType w:val="hybridMultilevel"/>
    <w:tmpl w:val="CAA0D7A2"/>
    <w:lvl w:ilvl="0" w:tplc="87EE5686">
      <w:start w:val="2"/>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7F20C26"/>
    <w:multiLevelType w:val="hybridMultilevel"/>
    <w:tmpl w:val="A74216DA"/>
    <w:lvl w:ilvl="0" w:tplc="7FF8DCAE">
      <w:start w:val="1"/>
      <w:numFmt w:val="lowerLetter"/>
      <w:lvlText w:val="(%1)"/>
      <w:lvlJc w:val="left"/>
      <w:pPr>
        <w:tabs>
          <w:tab w:val="num" w:pos="720"/>
        </w:tabs>
        <w:ind w:left="720"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15"/>
  </w:num>
  <w:num w:numId="4">
    <w:abstractNumId w:val="12"/>
  </w:num>
  <w:num w:numId="5">
    <w:abstractNumId w:val="13"/>
  </w:num>
  <w:num w:numId="6">
    <w:abstractNumId w:val="5"/>
  </w:num>
  <w:num w:numId="7">
    <w:abstractNumId w:val="18"/>
  </w:num>
  <w:num w:numId="8">
    <w:abstractNumId w:val="1"/>
  </w:num>
  <w:num w:numId="9">
    <w:abstractNumId w:val="3"/>
  </w:num>
  <w:num w:numId="10">
    <w:abstractNumId w:val="0"/>
  </w:num>
  <w:num w:numId="11">
    <w:abstractNumId w:val="17"/>
  </w:num>
  <w:num w:numId="12">
    <w:abstractNumId w:val="16"/>
  </w:num>
  <w:num w:numId="13">
    <w:abstractNumId w:val="7"/>
  </w:num>
  <w:num w:numId="14">
    <w:abstractNumId w:val="6"/>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8"/>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3A4F"/>
    <w:rsid w:val="00063BEC"/>
    <w:rsid w:val="000652CF"/>
    <w:rsid w:val="000B0B7B"/>
    <w:rsid w:val="000F549D"/>
    <w:rsid w:val="00104D29"/>
    <w:rsid w:val="001131D9"/>
    <w:rsid w:val="00120022"/>
    <w:rsid w:val="001433AE"/>
    <w:rsid w:val="00157358"/>
    <w:rsid w:val="00166953"/>
    <w:rsid w:val="00175842"/>
    <w:rsid w:val="001837AD"/>
    <w:rsid w:val="001C51A3"/>
    <w:rsid w:val="001E6902"/>
    <w:rsid w:val="001F223B"/>
    <w:rsid w:val="0021081B"/>
    <w:rsid w:val="00247658"/>
    <w:rsid w:val="00252C87"/>
    <w:rsid w:val="002549F9"/>
    <w:rsid w:val="00257D88"/>
    <w:rsid w:val="002722CF"/>
    <w:rsid w:val="002C6BC9"/>
    <w:rsid w:val="002F5E69"/>
    <w:rsid w:val="00303310"/>
    <w:rsid w:val="00310C5A"/>
    <w:rsid w:val="00323CC8"/>
    <w:rsid w:val="00366412"/>
    <w:rsid w:val="003B5D8E"/>
    <w:rsid w:val="003F0AC4"/>
    <w:rsid w:val="004062D8"/>
    <w:rsid w:val="00433463"/>
    <w:rsid w:val="0048061D"/>
    <w:rsid w:val="00487065"/>
    <w:rsid w:val="004A5ED5"/>
    <w:rsid w:val="004B4052"/>
    <w:rsid w:val="004C5679"/>
    <w:rsid w:val="004C7422"/>
    <w:rsid w:val="00501C0E"/>
    <w:rsid w:val="005141B3"/>
    <w:rsid w:val="005176F1"/>
    <w:rsid w:val="00524983"/>
    <w:rsid w:val="00530F50"/>
    <w:rsid w:val="00547D90"/>
    <w:rsid w:val="005A30FB"/>
    <w:rsid w:val="00603762"/>
    <w:rsid w:val="00613FC6"/>
    <w:rsid w:val="00684AAB"/>
    <w:rsid w:val="00695A9A"/>
    <w:rsid w:val="006B10A2"/>
    <w:rsid w:val="006B1504"/>
    <w:rsid w:val="006B5828"/>
    <w:rsid w:val="00702034"/>
    <w:rsid w:val="00716D12"/>
    <w:rsid w:val="00736CFE"/>
    <w:rsid w:val="0076584C"/>
    <w:rsid w:val="0079063F"/>
    <w:rsid w:val="007B66A0"/>
    <w:rsid w:val="007E613F"/>
    <w:rsid w:val="00807F57"/>
    <w:rsid w:val="00810D64"/>
    <w:rsid w:val="00814F3C"/>
    <w:rsid w:val="0087366B"/>
    <w:rsid w:val="00873895"/>
    <w:rsid w:val="0087557B"/>
    <w:rsid w:val="00892134"/>
    <w:rsid w:val="008B5B10"/>
    <w:rsid w:val="008D26AB"/>
    <w:rsid w:val="008D419D"/>
    <w:rsid w:val="008E40CC"/>
    <w:rsid w:val="0091205F"/>
    <w:rsid w:val="00956BFC"/>
    <w:rsid w:val="00957F87"/>
    <w:rsid w:val="0096291A"/>
    <w:rsid w:val="009A18A7"/>
    <w:rsid w:val="00A139DE"/>
    <w:rsid w:val="00A32409"/>
    <w:rsid w:val="00A42134"/>
    <w:rsid w:val="00A61AD6"/>
    <w:rsid w:val="00A6413D"/>
    <w:rsid w:val="00A65EA0"/>
    <w:rsid w:val="00A72104"/>
    <w:rsid w:val="00A86AE1"/>
    <w:rsid w:val="00A959A6"/>
    <w:rsid w:val="00AA1288"/>
    <w:rsid w:val="00AA17BB"/>
    <w:rsid w:val="00AA5C67"/>
    <w:rsid w:val="00AB4FAB"/>
    <w:rsid w:val="00AD0537"/>
    <w:rsid w:val="00AF023D"/>
    <w:rsid w:val="00AF50AE"/>
    <w:rsid w:val="00B409C6"/>
    <w:rsid w:val="00B75338"/>
    <w:rsid w:val="00B82090"/>
    <w:rsid w:val="00B940DF"/>
    <w:rsid w:val="00BB1CB3"/>
    <w:rsid w:val="00BC3017"/>
    <w:rsid w:val="00BE0961"/>
    <w:rsid w:val="00BF6291"/>
    <w:rsid w:val="00C02CE0"/>
    <w:rsid w:val="00C44C35"/>
    <w:rsid w:val="00C540F1"/>
    <w:rsid w:val="00CA070E"/>
    <w:rsid w:val="00CA56BB"/>
    <w:rsid w:val="00CA66B0"/>
    <w:rsid w:val="00CB3CED"/>
    <w:rsid w:val="00CD717F"/>
    <w:rsid w:val="00CF3C0C"/>
    <w:rsid w:val="00D0120D"/>
    <w:rsid w:val="00D252CF"/>
    <w:rsid w:val="00D26B3A"/>
    <w:rsid w:val="00D32984"/>
    <w:rsid w:val="00D33A4F"/>
    <w:rsid w:val="00D71DE6"/>
    <w:rsid w:val="00D747FF"/>
    <w:rsid w:val="00DB6734"/>
    <w:rsid w:val="00DB6B3C"/>
    <w:rsid w:val="00E21152"/>
    <w:rsid w:val="00E26C88"/>
    <w:rsid w:val="00E32136"/>
    <w:rsid w:val="00E44AF7"/>
    <w:rsid w:val="00E6523B"/>
    <w:rsid w:val="00E7029D"/>
    <w:rsid w:val="00E72933"/>
    <w:rsid w:val="00E77DF6"/>
    <w:rsid w:val="00EA5314"/>
    <w:rsid w:val="00EA6440"/>
    <w:rsid w:val="00EB0EA7"/>
    <w:rsid w:val="00ED4459"/>
    <w:rsid w:val="00ED6014"/>
    <w:rsid w:val="00F1697A"/>
    <w:rsid w:val="00F24B8C"/>
    <w:rsid w:val="00F24EF0"/>
    <w:rsid w:val="00F4296D"/>
    <w:rsid w:val="00F553C6"/>
    <w:rsid w:val="00F63E48"/>
    <w:rsid w:val="00FA66F6"/>
    <w:rsid w:val="00FC2B87"/>
    <w:rsid w:val="00FC6990"/>
    <w:rsid w:val="00FF764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33AE"/>
    <w:rPr>
      <w:sz w:val="24"/>
      <w:szCs w:val="24"/>
      <w:lang w:val="en-GB"/>
    </w:rPr>
  </w:style>
  <w:style w:type="paragraph" w:styleId="Heading1">
    <w:name w:val="heading 1"/>
    <w:basedOn w:val="Normal"/>
    <w:next w:val="Normal"/>
    <w:link w:val="Heading1Char"/>
    <w:uiPriority w:val="99"/>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9"/>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61F0"/>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7161F0"/>
    <w:rPr>
      <w:rFonts w:asciiTheme="majorHAnsi" w:eastAsiaTheme="majorEastAsia" w:hAnsiTheme="majorHAnsi" w:cstheme="majorBidi"/>
      <w:b/>
      <w:bCs/>
      <w:i/>
      <w:iCs/>
      <w:sz w:val="28"/>
      <w:szCs w:val="28"/>
      <w:lang w:val="en-GB"/>
    </w:rPr>
  </w:style>
  <w:style w:type="paragraph" w:styleId="BodyTextIndent">
    <w:name w:val="Body Text Indent"/>
    <w:basedOn w:val="Normal"/>
    <w:link w:val="BodyTextIndentChar"/>
    <w:uiPriority w:val="99"/>
    <w:rsid w:val="001433AE"/>
    <w:pPr>
      <w:tabs>
        <w:tab w:val="left" w:pos="432"/>
        <w:tab w:val="left" w:pos="864"/>
      </w:tabs>
      <w:spacing w:line="480" w:lineRule="auto"/>
      <w:ind w:left="1094" w:hanging="547"/>
    </w:pPr>
  </w:style>
  <w:style w:type="character" w:customStyle="1" w:styleId="BodyTextIndentChar">
    <w:name w:val="Body Text Indent Char"/>
    <w:basedOn w:val="DefaultParagraphFont"/>
    <w:link w:val="BodyTextIndent"/>
    <w:uiPriority w:val="99"/>
    <w:locked/>
    <w:rsid w:val="001F223B"/>
    <w:rPr>
      <w:sz w:val="24"/>
      <w:lang w:val="en-GB" w:eastAsia="en-US"/>
    </w:rPr>
  </w:style>
  <w:style w:type="paragraph" w:customStyle="1" w:styleId="Style">
    <w:name w:val="Style"/>
    <w:basedOn w:val="Normal"/>
    <w:uiPriority w:val="99"/>
    <w:rsid w:val="001433AE"/>
    <w:rPr>
      <w:rFonts w:ascii="Arial" w:hAnsi="Arial" w:cs="Arial"/>
      <w:sz w:val="22"/>
      <w:szCs w:val="22"/>
      <w:lang w:val="en-AU"/>
    </w:rPr>
  </w:style>
  <w:style w:type="paragraph" w:customStyle="1" w:styleId="CharCharCharCharCharChar">
    <w:name w:val="Char Char Char Char Char Char"/>
    <w:basedOn w:val="Normal"/>
    <w:uiPriority w:val="99"/>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uiPriority w:val="99"/>
    <w:rsid w:val="00A42134"/>
    <w:pPr>
      <w:spacing w:after="160" w:line="240" w:lineRule="exact"/>
    </w:pPr>
    <w:rPr>
      <w:rFonts w:ascii="Verdana" w:hAnsi="Verdana"/>
      <w:sz w:val="20"/>
      <w:szCs w:val="20"/>
      <w:lang w:val="en-US"/>
    </w:rPr>
  </w:style>
  <w:style w:type="paragraph" w:customStyle="1" w:styleId="TTI">
    <w:name w:val="TTI"/>
    <w:uiPriority w:val="99"/>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sz w:val="24"/>
      <w:szCs w:val="24"/>
    </w:rPr>
  </w:style>
  <w:style w:type="paragraph" w:styleId="BodyTextIndent2">
    <w:name w:val="Body Text Indent 2"/>
    <w:basedOn w:val="Normal"/>
    <w:link w:val="BodyTextIndent2Char"/>
    <w:uiPriority w:val="99"/>
    <w:rsid w:val="00695A9A"/>
    <w:pPr>
      <w:spacing w:after="120" w:line="480" w:lineRule="auto"/>
      <w:ind w:left="283"/>
    </w:pPr>
  </w:style>
  <w:style w:type="character" w:customStyle="1" w:styleId="BodyTextIndent2Char">
    <w:name w:val="Body Text Indent 2 Char"/>
    <w:basedOn w:val="DefaultParagraphFont"/>
    <w:link w:val="BodyTextIndent2"/>
    <w:uiPriority w:val="99"/>
    <w:semiHidden/>
    <w:rsid w:val="007161F0"/>
    <w:rPr>
      <w:sz w:val="24"/>
      <w:szCs w:val="24"/>
      <w:lang w:val="en-GB"/>
    </w:rPr>
  </w:style>
  <w:style w:type="table" w:styleId="TableGrid">
    <w:name w:val="Table Grid"/>
    <w:basedOn w:val="TableNormal"/>
    <w:uiPriority w:val="99"/>
    <w:rsid w:val="0052498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sz w:val="16"/>
      <w:szCs w:val="16"/>
    </w:rPr>
  </w:style>
  <w:style w:type="character" w:customStyle="1" w:styleId="BalloonTextChar">
    <w:name w:val="Balloon Text Char"/>
    <w:basedOn w:val="DefaultParagraphFont"/>
    <w:link w:val="BalloonText"/>
    <w:uiPriority w:val="99"/>
    <w:locked/>
    <w:rsid w:val="00EA5314"/>
    <w:rPr>
      <w:rFonts w:ascii="Tahoma" w:hAnsi="Tahoma"/>
      <w:sz w:val="16"/>
      <w:lang w:val="en-GB"/>
    </w:rPr>
  </w:style>
  <w:style w:type="paragraph" w:styleId="ListParagraph">
    <w:name w:val="List Paragraph"/>
    <w:basedOn w:val="Normal"/>
    <w:uiPriority w:val="99"/>
    <w:qFormat/>
    <w:rsid w:val="003B5D8E"/>
    <w:pPr>
      <w:ind w:left="720"/>
      <w:contextualSpacing/>
    </w:pPr>
  </w:style>
</w:styles>
</file>

<file path=word/webSettings.xml><?xml version="1.0" encoding="utf-8"?>
<w:webSettings xmlns:r="http://schemas.openxmlformats.org/officeDocument/2006/relationships" xmlns:w="http://schemas.openxmlformats.org/wordprocessingml/2006/main">
  <w:divs>
    <w:div w:id="152112714">
      <w:marLeft w:val="0"/>
      <w:marRight w:val="0"/>
      <w:marTop w:val="0"/>
      <w:marBottom w:val="0"/>
      <w:divBdr>
        <w:top w:val="none" w:sz="0" w:space="0" w:color="auto"/>
        <w:left w:val="none" w:sz="0" w:space="0" w:color="auto"/>
        <w:bottom w:val="none" w:sz="0" w:space="0" w:color="auto"/>
        <w:right w:val="none" w:sz="0" w:space="0" w:color="auto"/>
      </w:divBdr>
    </w:div>
    <w:div w:id="152112715">
      <w:marLeft w:val="0"/>
      <w:marRight w:val="0"/>
      <w:marTop w:val="0"/>
      <w:marBottom w:val="0"/>
      <w:divBdr>
        <w:top w:val="none" w:sz="0" w:space="0" w:color="auto"/>
        <w:left w:val="none" w:sz="0" w:space="0" w:color="auto"/>
        <w:bottom w:val="none" w:sz="0" w:space="0" w:color="auto"/>
        <w:right w:val="none" w:sz="0" w:space="0" w:color="auto"/>
      </w:divBdr>
    </w:div>
    <w:div w:id="152112716">
      <w:marLeft w:val="0"/>
      <w:marRight w:val="0"/>
      <w:marTop w:val="0"/>
      <w:marBottom w:val="0"/>
      <w:divBdr>
        <w:top w:val="none" w:sz="0" w:space="0" w:color="auto"/>
        <w:left w:val="none" w:sz="0" w:space="0" w:color="auto"/>
        <w:bottom w:val="none" w:sz="0" w:space="0" w:color="auto"/>
        <w:right w:val="none" w:sz="0" w:space="0" w:color="auto"/>
      </w:divBdr>
    </w:div>
    <w:div w:id="152112717">
      <w:marLeft w:val="0"/>
      <w:marRight w:val="0"/>
      <w:marTop w:val="0"/>
      <w:marBottom w:val="0"/>
      <w:divBdr>
        <w:top w:val="none" w:sz="0" w:space="0" w:color="auto"/>
        <w:left w:val="none" w:sz="0" w:space="0" w:color="auto"/>
        <w:bottom w:val="none" w:sz="0" w:space="0" w:color="auto"/>
        <w:right w:val="none" w:sz="0" w:space="0" w:color="auto"/>
      </w:divBdr>
    </w:div>
    <w:div w:id="152112718">
      <w:marLeft w:val="0"/>
      <w:marRight w:val="0"/>
      <w:marTop w:val="0"/>
      <w:marBottom w:val="0"/>
      <w:divBdr>
        <w:top w:val="none" w:sz="0" w:space="0" w:color="auto"/>
        <w:left w:val="none" w:sz="0" w:space="0" w:color="auto"/>
        <w:bottom w:val="none" w:sz="0" w:space="0" w:color="auto"/>
        <w:right w:val="none" w:sz="0" w:space="0" w:color="auto"/>
      </w:divBdr>
    </w:div>
    <w:div w:id="152112719">
      <w:marLeft w:val="0"/>
      <w:marRight w:val="0"/>
      <w:marTop w:val="0"/>
      <w:marBottom w:val="0"/>
      <w:divBdr>
        <w:top w:val="none" w:sz="0" w:space="0" w:color="auto"/>
        <w:left w:val="none" w:sz="0" w:space="0" w:color="auto"/>
        <w:bottom w:val="none" w:sz="0" w:space="0" w:color="auto"/>
        <w:right w:val="none" w:sz="0" w:space="0" w:color="auto"/>
      </w:divBdr>
    </w:div>
    <w:div w:id="152112720">
      <w:marLeft w:val="0"/>
      <w:marRight w:val="0"/>
      <w:marTop w:val="0"/>
      <w:marBottom w:val="0"/>
      <w:divBdr>
        <w:top w:val="none" w:sz="0" w:space="0" w:color="auto"/>
        <w:left w:val="none" w:sz="0" w:space="0" w:color="auto"/>
        <w:bottom w:val="none" w:sz="0" w:space="0" w:color="auto"/>
        <w:right w:val="none" w:sz="0" w:space="0" w:color="auto"/>
      </w:divBdr>
    </w:div>
    <w:div w:id="152112721">
      <w:marLeft w:val="0"/>
      <w:marRight w:val="0"/>
      <w:marTop w:val="0"/>
      <w:marBottom w:val="0"/>
      <w:divBdr>
        <w:top w:val="none" w:sz="0" w:space="0" w:color="auto"/>
        <w:left w:val="none" w:sz="0" w:space="0" w:color="auto"/>
        <w:bottom w:val="none" w:sz="0" w:space="0" w:color="auto"/>
        <w:right w:val="none" w:sz="0" w:space="0" w:color="auto"/>
      </w:divBdr>
    </w:div>
    <w:div w:id="1521127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177</Words>
  <Characters>1015</Characters>
  <Application>Microsoft Office Outlook</Application>
  <DocSecurity>0</DocSecurity>
  <Lines>0</Lines>
  <Paragraphs>0</Paragraphs>
  <ScaleCrop>false</ScaleCrop>
  <Company>National Treasury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Lindile Batwa</dc:creator>
  <cp:keywords/>
  <dc:description/>
  <cp:lastModifiedBy>schuene</cp:lastModifiedBy>
  <cp:revision>2</cp:revision>
  <cp:lastPrinted>2016-03-14T08:03:00Z</cp:lastPrinted>
  <dcterms:created xsi:type="dcterms:W3CDTF">2016-03-14T13:14:00Z</dcterms:created>
  <dcterms:modified xsi:type="dcterms:W3CDTF">2016-03-14T13:14:00Z</dcterms:modified>
</cp:coreProperties>
</file>