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D3" w:rsidRDefault="005569D3" w:rsidP="005569D3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5569D3" w:rsidRDefault="00AC659B" w:rsidP="00AC659B">
      <w:pPr>
        <w:jc w:val="center"/>
        <w:rPr>
          <w:rFonts w:ascii="Arial" w:hAnsi="Arial" w:cs="Arial"/>
          <w:sz w:val="20"/>
          <w:szCs w:val="20"/>
        </w:rPr>
      </w:pPr>
      <w:r w:rsidRPr="008B2E2C">
        <w:rPr>
          <w:rFonts w:ascii="Arial" w:hAnsi="Arial" w:cs="Arial"/>
          <w:noProof/>
          <w:sz w:val="20"/>
          <w:szCs w:val="20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.5pt;height:78.75pt;mso-width-percent:0;mso-height-percent:0;mso-width-percent:0;mso-height-percent:0" o:ole="" fillcolor="window">
            <v:imagedata r:id="rId7" o:title=""/>
          </v:shape>
          <o:OLEObject Type="Embed" ProgID="CorelPhotoPaint.Image.8" ShapeID="_x0000_i1025" DrawAspect="Content" ObjectID="_1709737171" r:id="rId8"/>
        </w:object>
      </w:r>
    </w:p>
    <w:p w:rsidR="005569D3" w:rsidRDefault="005569D3" w:rsidP="005569D3">
      <w:pPr>
        <w:jc w:val="center"/>
        <w:rPr>
          <w:rFonts w:ascii="Arial" w:hAnsi="Arial" w:cs="Arial"/>
          <w:b/>
        </w:rPr>
      </w:pPr>
    </w:p>
    <w:p w:rsidR="005569D3" w:rsidRPr="00597CC4" w:rsidRDefault="005569D3" w:rsidP="005569D3">
      <w:pPr>
        <w:jc w:val="center"/>
        <w:outlineLvl w:val="0"/>
        <w:rPr>
          <w:rFonts w:ascii="Arial" w:hAnsi="Arial" w:cs="Arial"/>
          <w:b/>
          <w:color w:val="008000"/>
        </w:rPr>
      </w:pPr>
      <w:r w:rsidRPr="00597CC4">
        <w:rPr>
          <w:rFonts w:ascii="Arial" w:hAnsi="Arial" w:cs="Arial"/>
          <w:b/>
          <w:color w:val="008000"/>
        </w:rPr>
        <w:t xml:space="preserve">DEPUTY PRESIDENT: REPUBLIC OF SOUTH AFRICA </w:t>
      </w:r>
    </w:p>
    <w:p w:rsidR="005569D3" w:rsidRPr="00597CC4" w:rsidRDefault="005569D3" w:rsidP="005569D3">
      <w:pPr>
        <w:jc w:val="center"/>
        <w:outlineLvl w:val="0"/>
        <w:rPr>
          <w:rFonts w:ascii="Arial" w:hAnsi="Arial" w:cs="Arial"/>
        </w:rPr>
      </w:pPr>
      <w:r w:rsidRPr="00597CC4">
        <w:rPr>
          <w:rFonts w:ascii="Arial" w:hAnsi="Arial" w:cs="Arial"/>
        </w:rPr>
        <w:t>Private Bag X 1000, Pretoria, 0001</w:t>
      </w:r>
    </w:p>
    <w:p w:rsidR="005569D3" w:rsidRDefault="005569D3" w:rsidP="00FE292D">
      <w:pPr>
        <w:rPr>
          <w:rFonts w:ascii="Arial" w:hAnsi="Arial" w:cs="Arial"/>
          <w:b/>
          <w:sz w:val="28"/>
          <w:szCs w:val="28"/>
          <w:lang w:val="en-US"/>
        </w:rPr>
      </w:pPr>
    </w:p>
    <w:p w:rsidR="005569D3" w:rsidRDefault="00DC6481" w:rsidP="005569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NATIONAL ASSEMBLY</w:t>
      </w:r>
    </w:p>
    <w:p w:rsidR="005569D3" w:rsidRDefault="005569D3" w:rsidP="005569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QUESTIONS FOR WRITTEN REPLY</w:t>
      </w:r>
    </w:p>
    <w:p w:rsidR="00785A4B" w:rsidRPr="00785A4B" w:rsidRDefault="00785A4B" w:rsidP="00785A4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85A4B">
        <w:rPr>
          <w:rFonts w:ascii="Arial" w:hAnsi="Arial" w:cs="Arial"/>
          <w:b/>
          <w:sz w:val="28"/>
          <w:szCs w:val="28"/>
          <w:lang w:val="en-GB"/>
        </w:rPr>
        <w:t>FRIDAY, 25 FEBRUARY 2022</w:t>
      </w:r>
    </w:p>
    <w:p w:rsidR="009A4BFB" w:rsidRPr="006C1AC9" w:rsidRDefault="009A4BFB" w:rsidP="00FE292D">
      <w:pPr>
        <w:jc w:val="center"/>
        <w:rPr>
          <w:rFonts w:ascii="Arial" w:hAnsi="Arial" w:cs="Arial"/>
          <w:b/>
          <w:sz w:val="24"/>
          <w:szCs w:val="24"/>
        </w:rPr>
      </w:pPr>
    </w:p>
    <w:p w:rsidR="00623ADF" w:rsidRPr="006C1AC9" w:rsidRDefault="00623ADF" w:rsidP="00623AD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C1AC9">
        <w:rPr>
          <w:rFonts w:ascii="Arial" w:hAnsi="Arial" w:cs="Arial"/>
          <w:b/>
          <w:sz w:val="24"/>
          <w:szCs w:val="24"/>
        </w:rPr>
        <w:t>437.</w:t>
      </w:r>
      <w:r w:rsidRPr="006C1AC9">
        <w:rPr>
          <w:rFonts w:ascii="Arial" w:hAnsi="Arial" w:cs="Arial"/>
          <w:b/>
          <w:sz w:val="24"/>
          <w:szCs w:val="24"/>
        </w:rPr>
        <w:tab/>
        <w:t>Ms S A Buthelezi (IFP) to ask the Deputy President</w:t>
      </w:r>
      <w:r w:rsidR="00E23C4A" w:rsidRPr="006C1AC9">
        <w:rPr>
          <w:rFonts w:ascii="Arial" w:hAnsi="Arial" w:cs="Arial"/>
          <w:b/>
          <w:sz w:val="24"/>
          <w:szCs w:val="24"/>
        </w:rPr>
        <w:fldChar w:fldCharType="begin"/>
      </w:r>
      <w:r w:rsidRPr="006C1AC9">
        <w:rPr>
          <w:rFonts w:ascii="Arial" w:hAnsi="Arial" w:cs="Arial"/>
          <w:b/>
          <w:sz w:val="24"/>
          <w:szCs w:val="24"/>
        </w:rPr>
        <w:instrText xml:space="preserve"> XE "Deputy President" </w:instrText>
      </w:r>
      <w:r w:rsidR="00E23C4A" w:rsidRPr="006C1AC9">
        <w:rPr>
          <w:rFonts w:ascii="Arial" w:hAnsi="Arial" w:cs="Arial"/>
          <w:b/>
          <w:sz w:val="24"/>
          <w:szCs w:val="24"/>
        </w:rPr>
        <w:fldChar w:fldCharType="end"/>
      </w:r>
      <w:r w:rsidRPr="006C1AC9">
        <w:rPr>
          <w:rFonts w:ascii="Arial" w:hAnsi="Arial" w:cs="Arial"/>
          <w:b/>
          <w:sz w:val="24"/>
          <w:szCs w:val="24"/>
        </w:rPr>
        <w:t>:</w:t>
      </w:r>
    </w:p>
    <w:p w:rsidR="00420E82" w:rsidRDefault="00623ADF" w:rsidP="00623AD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C1AC9">
        <w:rPr>
          <w:rFonts w:ascii="Arial" w:hAnsi="Arial" w:cs="Arial"/>
          <w:sz w:val="24"/>
          <w:szCs w:val="24"/>
        </w:rPr>
        <w:t>In light of his responsibility to assist the President in the implementation of rapid response interventions on service delivery and trouble-shooting in service delivery hotspots, what steps have been implemented to improve the municipalities that are currently under administration?</w:t>
      </w:r>
      <w:r w:rsidRPr="006C1AC9">
        <w:rPr>
          <w:rFonts w:ascii="Arial" w:hAnsi="Arial" w:cs="Arial"/>
          <w:sz w:val="24"/>
          <w:szCs w:val="24"/>
        </w:rPr>
        <w:tab/>
      </w:r>
      <w:r w:rsidRPr="006C1AC9">
        <w:rPr>
          <w:rFonts w:ascii="Arial" w:hAnsi="Arial" w:cs="Arial"/>
          <w:b/>
          <w:sz w:val="24"/>
          <w:szCs w:val="24"/>
        </w:rPr>
        <w:tab/>
      </w:r>
      <w:r w:rsidRPr="006C1AC9">
        <w:rPr>
          <w:rFonts w:ascii="Arial" w:hAnsi="Arial" w:cs="Arial"/>
          <w:b/>
          <w:sz w:val="24"/>
          <w:szCs w:val="24"/>
        </w:rPr>
        <w:tab/>
      </w:r>
      <w:r w:rsidRPr="006C1AC9">
        <w:rPr>
          <w:rFonts w:ascii="Arial" w:hAnsi="Arial" w:cs="Arial"/>
          <w:b/>
          <w:sz w:val="24"/>
          <w:szCs w:val="24"/>
        </w:rPr>
        <w:tab/>
      </w:r>
      <w:r w:rsidRPr="006C1AC9">
        <w:rPr>
          <w:rFonts w:ascii="Arial" w:hAnsi="Arial" w:cs="Arial"/>
          <w:b/>
          <w:sz w:val="24"/>
          <w:szCs w:val="24"/>
        </w:rPr>
        <w:tab/>
      </w:r>
      <w:r w:rsidRPr="006C1AC9">
        <w:rPr>
          <w:rFonts w:ascii="Arial" w:hAnsi="Arial" w:cs="Arial"/>
          <w:b/>
          <w:sz w:val="24"/>
          <w:szCs w:val="24"/>
        </w:rPr>
        <w:tab/>
        <w:t>NW502E</w:t>
      </w:r>
    </w:p>
    <w:p w:rsidR="00420E82" w:rsidRPr="006C1AC9" w:rsidRDefault="00420E82" w:rsidP="00623AD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A1148E" w:rsidRDefault="00A1148E" w:rsidP="00A1148E">
      <w:p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C1AC9">
        <w:rPr>
          <w:rFonts w:ascii="Arial" w:hAnsi="Arial" w:cs="Arial"/>
          <w:color w:val="000000" w:themeColor="text1"/>
          <w:sz w:val="24"/>
          <w:szCs w:val="24"/>
        </w:rPr>
        <w:t>The Department of Cooperative of Governance has identified, through the 2021 State of Local Government Report, 64 municipalities as dysfunctional and needing urgent support.</w:t>
      </w:r>
      <w:r w:rsidRPr="006C1AC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These high-risk municipalities are characterised by, among other things, political infighting, poor and weak decision-making, poor governance and financial management, lack of consequence management, poor collection of revenue, and poor response to service delivery complaints.</w:t>
      </w:r>
    </w:p>
    <w:p w:rsidR="00186ED1" w:rsidRDefault="00436709" w:rsidP="00A1148E">
      <w:p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at 24 August 2021, out of the 64 dysfunctional Municipalities, the following 26 were placed under administration: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600"/>
      </w:tblPr>
      <w:tblGrid>
        <w:gridCol w:w="3512"/>
        <w:gridCol w:w="3576"/>
      </w:tblGrid>
      <w:tr w:rsidR="00436709" w:rsidRPr="00436709" w:rsidTr="00CA3693">
        <w:trPr>
          <w:trHeight w:val="456"/>
          <w:jc w:val="center"/>
        </w:trPr>
        <w:tc>
          <w:tcPr>
            <w:tcW w:w="3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KZN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PROVINCE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Abaqulusi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Emadlangeni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iNkosi Langalibalele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Mpofana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Msunduzi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Mtubatuba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Umkhanyakude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Umzinyathi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Nquthu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Uthukela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ESTERN </w:t>
            </w:r>
            <w:r w:rsidRPr="004367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APE PROVINCE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Kannaland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POPO PROVINCE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Mogalakwena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FREE STATE PROVINCE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Mangaung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293E1C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EA</w:t>
            </w:r>
            <w:r w:rsidR="004367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STERN CAPE PROVINCE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Amathole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Enoch Mgijima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OR Tambo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NORTHEN CAPE PROVINCE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Phokwane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GAU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TENG PROVINCE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Emfuleni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West Rand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NORTH WEST PROVINCE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JB Marks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Madibeng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MPU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MALANGA PROVINCE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Emalahleni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Govan Mbeki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Lekwa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Msukaligwa</w:t>
            </w:r>
          </w:p>
        </w:tc>
      </w:tr>
      <w:tr w:rsidR="00436709" w:rsidRPr="00436709" w:rsidTr="00CA3693">
        <w:trPr>
          <w:trHeight w:val="456"/>
          <w:jc w:val="center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436709" w:rsidRPr="00436709" w:rsidRDefault="00436709" w:rsidP="00436709">
            <w:pPr>
              <w:shd w:val="clear" w:color="auto" w:fill="FFFFFF" w:themeFill="background1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67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Thaba Chweu</w:t>
            </w:r>
          </w:p>
        </w:tc>
      </w:tr>
    </w:tbl>
    <w:p w:rsidR="00815918" w:rsidRPr="00CE382F" w:rsidRDefault="00CA3693" w:rsidP="00CE382F">
      <w:p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</w:t>
      </w:r>
      <w:r w:rsidR="007A460A" w:rsidRPr="00CA36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oth 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ational and Provincial Teams have already engaged</w:t>
      </w:r>
      <w:r w:rsidR="007A460A" w:rsidRPr="00CA36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all</w:t>
      </w:r>
      <w:r w:rsidR="007A460A" w:rsidRPr="00CA36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64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dysfunctional </w:t>
      </w:r>
      <w:r w:rsidR="007A460A" w:rsidRPr="00CA36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municipalities</w:t>
      </w:r>
      <w:r w:rsidR="00420E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including the 29 which were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placed under administration</w:t>
      </w:r>
      <w:r w:rsidR="00420E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develop </w:t>
      </w:r>
      <w:r w:rsidR="007A460A" w:rsidRPr="00CA36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Municipal Support and Intervention Plans. </w:t>
      </w:r>
      <w:r w:rsidR="00420E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Upon engagements with all </w:t>
      </w:r>
      <w:r w:rsidR="00A15E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dysfunctional</w:t>
      </w:r>
      <w:r w:rsidR="00420E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5E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Municipalities</w:t>
      </w:r>
      <w:r w:rsidR="00420E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the following short</w:t>
      </w:r>
      <w:r w:rsidR="00A15E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medium-term interventions were developed</w:t>
      </w:r>
      <w:r w:rsidR="00BB35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and </w:t>
      </w:r>
      <w:r w:rsidR="00FF5F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are </w:t>
      </w:r>
      <w:r w:rsidR="00BB35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currently being implemented:</w:t>
      </w:r>
    </w:p>
    <w:p w:rsidR="00420E82" w:rsidRPr="00A15EC6" w:rsidRDefault="00420E82" w:rsidP="00A15EC6">
      <w:pPr>
        <w:pStyle w:val="ListParagraph"/>
        <w:shd w:val="clear" w:color="auto" w:fill="FFFFFF" w:themeFill="background1"/>
        <w:spacing w:before="100" w:beforeAutospacing="1" w:after="100" w:afterAutospacing="1" w:line="360" w:lineRule="auto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15EC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Short-term interventions</w:t>
      </w:r>
      <w:r w:rsidR="00A15EC6" w:rsidRPr="00A15EC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as adopted by Cabinet</w:t>
      </w:r>
    </w:p>
    <w:p w:rsidR="00815918" w:rsidRDefault="007A460A" w:rsidP="00815918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20E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Fast-track repairs and maintenance of water infrastructure, sanitation, repair potholes, energise streetlights,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attend to sewer spillages;</w:t>
      </w:r>
    </w:p>
    <w:p w:rsidR="00815918" w:rsidRDefault="007A460A" w:rsidP="00815918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All municipalities to upscale their efforts relating to community parti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cipation and citizen engagement;</w:t>
      </w:r>
    </w:p>
    <w:p w:rsidR="00815918" w:rsidRDefault="007A460A" w:rsidP="00815918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Fight vandalism and theft of public transport infrastructure in collab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oration with sector departments;</w:t>
      </w:r>
    </w:p>
    <w:p w:rsidR="00815918" w:rsidRDefault="007A460A" w:rsidP="00815918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Fight gangsterism and criminal activities in collaboration 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with SAPS and other departments;</w:t>
      </w:r>
    </w:p>
    <w:p w:rsidR="00815918" w:rsidRDefault="007A460A" w:rsidP="00815918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Operationalisation of the Structures and Systems Acts which coincides with the commencement of t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 next term of local government;</w:t>
      </w: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3C4A" w:rsidRPr="00815918" w:rsidRDefault="007A460A" w:rsidP="00815918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Conduct an in-depth assessment of municipalities that are already under section 13</w:t>
      </w:r>
      <w:r w:rsidR="00A15EC6"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9 of the Constitution, </w:t>
      </w: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deal with areas that need urgent attention by amongst others deploying technical support teams, </w:t>
      </w:r>
      <w:r w:rsidR="0005550D"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District</w:t>
      </w:r>
      <w:r w:rsidR="00A15EC6"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A15EC6"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evelopment </w:t>
      </w: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="00A15EC6"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odel</w:t>
      </w: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Political Champions to unblock persistent challenges etc. </w:t>
      </w:r>
    </w:p>
    <w:p w:rsidR="00815918" w:rsidRPr="00815918" w:rsidRDefault="00815918" w:rsidP="00815918">
      <w:pPr>
        <w:shd w:val="clear" w:color="auto" w:fill="FFFFFF" w:themeFill="background1"/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Medium-term interventions:</w:t>
      </w:r>
    </w:p>
    <w:p w:rsidR="00E23C4A" w:rsidRPr="00815918" w:rsidRDefault="007A460A" w:rsidP="0081591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Sup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port municipalities to develop Asset Management Plans using 5% of MIG;</w:t>
      </w:r>
    </w:p>
    <w:p w:rsidR="00E23C4A" w:rsidRPr="00815918" w:rsidRDefault="007A460A" w:rsidP="0081591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Restrict land invasion and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facilitate housing development;</w:t>
      </w: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E23C4A" w:rsidRPr="00815918" w:rsidRDefault="007A460A" w:rsidP="0081591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Seek land and housing development opportuniti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closer to work opportunities;</w:t>
      </w:r>
    </w:p>
    <w:p w:rsidR="00E23C4A" w:rsidRPr="00815918" w:rsidRDefault="007A460A" w:rsidP="0081591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Provide equitable, consistent and accessible tran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sport for the low-income groups;</w:t>
      </w:r>
    </w:p>
    <w:p w:rsidR="00E23C4A" w:rsidRPr="00815918" w:rsidRDefault="007A460A" w:rsidP="0081591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Support municipali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ties to ensure that all Senior M</w:t>
      </w: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anagers meet the minimum competency requirements as provided for in the Regulations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E23C4A" w:rsidRPr="00815918" w:rsidRDefault="007A460A" w:rsidP="0081591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Appoint and deploy the Rapid Response Team to prioritize the 64 municipal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ities with high-risk indicators;</w:t>
      </w:r>
    </w:p>
    <w:p w:rsidR="00E23C4A" w:rsidRPr="00815918" w:rsidRDefault="007A460A" w:rsidP="0081591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Provinces to intensify sup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port on MPACs to municipalities;</w:t>
      </w:r>
    </w:p>
    <w:p w:rsidR="00E23C4A" w:rsidRPr="00815918" w:rsidRDefault="007A460A" w:rsidP="0081591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Facilitate settle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ment arrangements with ESKOM &amp; Water B</w:t>
      </w: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oards on debt owed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E23C4A" w:rsidRPr="00815918" w:rsidRDefault="007A460A" w:rsidP="0081591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Support municipalities with the improvement of their customer data management, records management and Information and Communications</w:t>
      </w:r>
      <w:r w:rsidR="000555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251DB" w:rsidRPr="0005550D" w:rsidRDefault="007A460A" w:rsidP="0005550D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5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Reduce debt o</w:t>
      </w:r>
      <w:r w:rsidR="00D95C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wed to municipalities through </w:t>
      </w:r>
      <w:r w:rsidR="00D95CE2" w:rsidRPr="00D95CE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“Pay </w:t>
      </w:r>
      <w:bookmarkStart w:id="0" w:name="_GoBack"/>
      <w:bookmarkEnd w:id="0"/>
      <w:r w:rsidR="00D95CE2" w:rsidRPr="00D95CE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for Services C</w:t>
      </w:r>
      <w:r w:rsidRPr="00D95CE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ampaign”.</w:t>
      </w:r>
    </w:p>
    <w:sectPr w:rsidR="004251DB" w:rsidRPr="0005550D" w:rsidSect="00E23C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0D" w:rsidRDefault="00BD120D" w:rsidP="00652B9E">
      <w:r>
        <w:separator/>
      </w:r>
    </w:p>
  </w:endnote>
  <w:endnote w:type="continuationSeparator" w:id="0">
    <w:p w:rsidR="00BD120D" w:rsidRDefault="00BD120D" w:rsidP="0065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401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52B9E" w:rsidRDefault="00652B9E">
            <w:pPr>
              <w:pStyle w:val="Footer"/>
              <w:jc w:val="right"/>
            </w:pPr>
            <w:r>
              <w:t xml:space="preserve">Page </w:t>
            </w:r>
            <w:r w:rsidR="00E23C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23C4A">
              <w:rPr>
                <w:b/>
                <w:bCs/>
                <w:sz w:val="24"/>
                <w:szCs w:val="24"/>
              </w:rPr>
              <w:fldChar w:fldCharType="separate"/>
            </w:r>
            <w:r w:rsidR="00BD120D">
              <w:rPr>
                <w:b/>
                <w:bCs/>
                <w:noProof/>
              </w:rPr>
              <w:t>1</w:t>
            </w:r>
            <w:r w:rsidR="00E23C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3C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23C4A">
              <w:rPr>
                <w:b/>
                <w:bCs/>
                <w:sz w:val="24"/>
                <w:szCs w:val="24"/>
              </w:rPr>
              <w:fldChar w:fldCharType="separate"/>
            </w:r>
            <w:r w:rsidR="00BD120D">
              <w:rPr>
                <w:b/>
                <w:bCs/>
                <w:noProof/>
              </w:rPr>
              <w:t>1</w:t>
            </w:r>
            <w:r w:rsidR="00E23C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9E" w:rsidRDefault="00652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0D" w:rsidRDefault="00BD120D" w:rsidP="00652B9E">
      <w:r>
        <w:separator/>
      </w:r>
    </w:p>
  </w:footnote>
  <w:footnote w:type="continuationSeparator" w:id="0">
    <w:p w:rsidR="00BD120D" w:rsidRDefault="00BD120D" w:rsidP="00652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14"/>
    <w:multiLevelType w:val="hybridMultilevel"/>
    <w:tmpl w:val="137E06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6E9E"/>
    <w:multiLevelType w:val="hybridMultilevel"/>
    <w:tmpl w:val="CAF017FE"/>
    <w:lvl w:ilvl="0" w:tplc="318897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5C3"/>
    <w:multiLevelType w:val="hybridMultilevel"/>
    <w:tmpl w:val="ED1025DC"/>
    <w:lvl w:ilvl="0" w:tplc="1A6C0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61486"/>
    <w:multiLevelType w:val="hybridMultilevel"/>
    <w:tmpl w:val="378EADA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A77"/>
    <w:multiLevelType w:val="hybridMultilevel"/>
    <w:tmpl w:val="DBCA72B2"/>
    <w:lvl w:ilvl="0" w:tplc="399220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95DD6"/>
    <w:multiLevelType w:val="hybridMultilevel"/>
    <w:tmpl w:val="48682AD2"/>
    <w:lvl w:ilvl="0" w:tplc="34DEB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1B0A"/>
    <w:multiLevelType w:val="hybridMultilevel"/>
    <w:tmpl w:val="E60CDC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61AA9"/>
    <w:multiLevelType w:val="hybridMultilevel"/>
    <w:tmpl w:val="DF009A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7A7F7C"/>
    <w:multiLevelType w:val="hybridMultilevel"/>
    <w:tmpl w:val="054448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266558"/>
    <w:multiLevelType w:val="hybridMultilevel"/>
    <w:tmpl w:val="A796D17E"/>
    <w:lvl w:ilvl="0" w:tplc="3188978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C5370"/>
    <w:multiLevelType w:val="hybridMultilevel"/>
    <w:tmpl w:val="5D5020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22916"/>
    <w:multiLevelType w:val="hybridMultilevel"/>
    <w:tmpl w:val="B1BCE668"/>
    <w:lvl w:ilvl="0" w:tplc="B608C4E6">
      <w:start w:val="71"/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473F0ED0"/>
    <w:multiLevelType w:val="hybridMultilevel"/>
    <w:tmpl w:val="DB7E0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A1BAA"/>
    <w:multiLevelType w:val="hybridMultilevel"/>
    <w:tmpl w:val="F55C4F0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004EBD"/>
    <w:multiLevelType w:val="hybridMultilevel"/>
    <w:tmpl w:val="E45E9832"/>
    <w:lvl w:ilvl="0" w:tplc="1C16C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A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A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4B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E0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61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2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20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3A5ABA"/>
    <w:multiLevelType w:val="hybridMultilevel"/>
    <w:tmpl w:val="B5983D3C"/>
    <w:lvl w:ilvl="0" w:tplc="B5A8771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F745D"/>
    <w:multiLevelType w:val="hybridMultilevel"/>
    <w:tmpl w:val="5F5CD708"/>
    <w:lvl w:ilvl="0" w:tplc="9E8A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E0292"/>
    <w:multiLevelType w:val="hybridMultilevel"/>
    <w:tmpl w:val="A0102152"/>
    <w:lvl w:ilvl="0" w:tplc="A2FE9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EA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247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C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6F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C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CE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A07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8E57EB"/>
    <w:multiLevelType w:val="hybridMultilevel"/>
    <w:tmpl w:val="13CE1D2E"/>
    <w:lvl w:ilvl="0" w:tplc="DDF8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2E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65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E4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29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1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A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A7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8D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126CEF"/>
    <w:multiLevelType w:val="hybridMultilevel"/>
    <w:tmpl w:val="50868E72"/>
    <w:lvl w:ilvl="0" w:tplc="CB8A0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86AB6"/>
    <w:multiLevelType w:val="hybridMultilevel"/>
    <w:tmpl w:val="E3D2A9DE"/>
    <w:lvl w:ilvl="0" w:tplc="5962819C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BEE4FB7"/>
    <w:multiLevelType w:val="hybridMultilevel"/>
    <w:tmpl w:val="A6E88A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45A73"/>
    <w:multiLevelType w:val="hybridMultilevel"/>
    <w:tmpl w:val="167AC222"/>
    <w:lvl w:ilvl="0" w:tplc="FE1AED9C">
      <w:start w:val="1"/>
      <w:numFmt w:val="decimal"/>
      <w:lvlText w:val="(%1)"/>
      <w:lvlJc w:val="left"/>
      <w:pPr>
        <w:ind w:left="20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48" w:hanging="360"/>
      </w:pPr>
    </w:lvl>
    <w:lvl w:ilvl="2" w:tplc="1C09001B" w:tentative="1">
      <w:start w:val="1"/>
      <w:numFmt w:val="lowerRoman"/>
      <w:lvlText w:val="%3."/>
      <w:lvlJc w:val="right"/>
      <w:pPr>
        <w:ind w:left="3468" w:hanging="180"/>
      </w:pPr>
    </w:lvl>
    <w:lvl w:ilvl="3" w:tplc="1C09000F" w:tentative="1">
      <w:start w:val="1"/>
      <w:numFmt w:val="decimal"/>
      <w:lvlText w:val="%4."/>
      <w:lvlJc w:val="left"/>
      <w:pPr>
        <w:ind w:left="4188" w:hanging="360"/>
      </w:pPr>
    </w:lvl>
    <w:lvl w:ilvl="4" w:tplc="1C090019" w:tentative="1">
      <w:start w:val="1"/>
      <w:numFmt w:val="lowerLetter"/>
      <w:lvlText w:val="%5."/>
      <w:lvlJc w:val="left"/>
      <w:pPr>
        <w:ind w:left="4908" w:hanging="360"/>
      </w:pPr>
    </w:lvl>
    <w:lvl w:ilvl="5" w:tplc="1C09001B" w:tentative="1">
      <w:start w:val="1"/>
      <w:numFmt w:val="lowerRoman"/>
      <w:lvlText w:val="%6."/>
      <w:lvlJc w:val="right"/>
      <w:pPr>
        <w:ind w:left="5628" w:hanging="180"/>
      </w:pPr>
    </w:lvl>
    <w:lvl w:ilvl="6" w:tplc="1C09000F" w:tentative="1">
      <w:start w:val="1"/>
      <w:numFmt w:val="decimal"/>
      <w:lvlText w:val="%7."/>
      <w:lvlJc w:val="left"/>
      <w:pPr>
        <w:ind w:left="6348" w:hanging="360"/>
      </w:pPr>
    </w:lvl>
    <w:lvl w:ilvl="7" w:tplc="1C090019" w:tentative="1">
      <w:start w:val="1"/>
      <w:numFmt w:val="lowerLetter"/>
      <w:lvlText w:val="%8."/>
      <w:lvlJc w:val="left"/>
      <w:pPr>
        <w:ind w:left="7068" w:hanging="360"/>
      </w:pPr>
    </w:lvl>
    <w:lvl w:ilvl="8" w:tplc="1C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3">
    <w:nsid w:val="734F7752"/>
    <w:multiLevelType w:val="hybridMultilevel"/>
    <w:tmpl w:val="D0FE5A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719D8"/>
    <w:multiLevelType w:val="hybridMultilevel"/>
    <w:tmpl w:val="46827D54"/>
    <w:lvl w:ilvl="0" w:tplc="68A4C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7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AA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CB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03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88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61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AA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69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23"/>
  </w:num>
  <w:num w:numId="5">
    <w:abstractNumId w:val="12"/>
  </w:num>
  <w:num w:numId="6">
    <w:abstractNumId w:val="1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5"/>
  </w:num>
  <w:num w:numId="13">
    <w:abstractNumId w:val="2"/>
  </w:num>
  <w:num w:numId="14">
    <w:abstractNumId w:val="0"/>
  </w:num>
  <w:num w:numId="15">
    <w:abstractNumId w:val="20"/>
  </w:num>
  <w:num w:numId="16">
    <w:abstractNumId w:val="11"/>
  </w:num>
  <w:num w:numId="17">
    <w:abstractNumId w:val="16"/>
  </w:num>
  <w:num w:numId="18">
    <w:abstractNumId w:val="1"/>
  </w:num>
  <w:num w:numId="19">
    <w:abstractNumId w:val="9"/>
  </w:num>
  <w:num w:numId="20">
    <w:abstractNumId w:val="14"/>
  </w:num>
  <w:num w:numId="21">
    <w:abstractNumId w:val="18"/>
  </w:num>
  <w:num w:numId="22">
    <w:abstractNumId w:val="17"/>
  </w:num>
  <w:num w:numId="23">
    <w:abstractNumId w:val="21"/>
  </w:num>
  <w:num w:numId="24">
    <w:abstractNumId w:val="2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1A03"/>
    <w:rsid w:val="000004F1"/>
    <w:rsid w:val="00001B84"/>
    <w:rsid w:val="00006EB7"/>
    <w:rsid w:val="0001400D"/>
    <w:rsid w:val="00033B78"/>
    <w:rsid w:val="00047B24"/>
    <w:rsid w:val="00047F6F"/>
    <w:rsid w:val="00050170"/>
    <w:rsid w:val="0005550D"/>
    <w:rsid w:val="00064A70"/>
    <w:rsid w:val="000723CD"/>
    <w:rsid w:val="0007284C"/>
    <w:rsid w:val="00081492"/>
    <w:rsid w:val="0008731B"/>
    <w:rsid w:val="0009017A"/>
    <w:rsid w:val="000B586B"/>
    <w:rsid w:val="000D758B"/>
    <w:rsid w:val="000E084D"/>
    <w:rsid w:val="000F1878"/>
    <w:rsid w:val="00105BD5"/>
    <w:rsid w:val="0012256D"/>
    <w:rsid w:val="00146A77"/>
    <w:rsid w:val="00155CF9"/>
    <w:rsid w:val="00156935"/>
    <w:rsid w:val="00160314"/>
    <w:rsid w:val="0016237A"/>
    <w:rsid w:val="00186ED1"/>
    <w:rsid w:val="00191F2F"/>
    <w:rsid w:val="001B2F7E"/>
    <w:rsid w:val="001C27F2"/>
    <w:rsid w:val="001D0E9A"/>
    <w:rsid w:val="002018D5"/>
    <w:rsid w:val="00205D8F"/>
    <w:rsid w:val="00224A2B"/>
    <w:rsid w:val="00226695"/>
    <w:rsid w:val="002352E6"/>
    <w:rsid w:val="0024795F"/>
    <w:rsid w:val="00256B92"/>
    <w:rsid w:val="0026512E"/>
    <w:rsid w:val="00284BD8"/>
    <w:rsid w:val="002915E1"/>
    <w:rsid w:val="00293E1C"/>
    <w:rsid w:val="002B48D3"/>
    <w:rsid w:val="002D29BB"/>
    <w:rsid w:val="002D5388"/>
    <w:rsid w:val="002E2326"/>
    <w:rsid w:val="002E7724"/>
    <w:rsid w:val="00300842"/>
    <w:rsid w:val="00301FA3"/>
    <w:rsid w:val="00303182"/>
    <w:rsid w:val="00313391"/>
    <w:rsid w:val="003208D1"/>
    <w:rsid w:val="0032311A"/>
    <w:rsid w:val="003261A4"/>
    <w:rsid w:val="003321A5"/>
    <w:rsid w:val="0033438C"/>
    <w:rsid w:val="00375848"/>
    <w:rsid w:val="0039165B"/>
    <w:rsid w:val="00396572"/>
    <w:rsid w:val="003B31A9"/>
    <w:rsid w:val="003C077A"/>
    <w:rsid w:val="003C1BB1"/>
    <w:rsid w:val="003C3BE6"/>
    <w:rsid w:val="003D16F9"/>
    <w:rsid w:val="0041135A"/>
    <w:rsid w:val="0041194C"/>
    <w:rsid w:val="00413872"/>
    <w:rsid w:val="00413E1B"/>
    <w:rsid w:val="00414518"/>
    <w:rsid w:val="004148F1"/>
    <w:rsid w:val="00420E82"/>
    <w:rsid w:val="004251DB"/>
    <w:rsid w:val="004309D1"/>
    <w:rsid w:val="00436709"/>
    <w:rsid w:val="0045474C"/>
    <w:rsid w:val="004A06B9"/>
    <w:rsid w:val="004A6465"/>
    <w:rsid w:val="004A6BF3"/>
    <w:rsid w:val="004D72EF"/>
    <w:rsid w:val="004E4069"/>
    <w:rsid w:val="004F3E97"/>
    <w:rsid w:val="00501CDE"/>
    <w:rsid w:val="00507579"/>
    <w:rsid w:val="005178FF"/>
    <w:rsid w:val="00523597"/>
    <w:rsid w:val="005535AB"/>
    <w:rsid w:val="005569D3"/>
    <w:rsid w:val="00562A8D"/>
    <w:rsid w:val="005640B3"/>
    <w:rsid w:val="00574321"/>
    <w:rsid w:val="005763B2"/>
    <w:rsid w:val="00577F2F"/>
    <w:rsid w:val="0058654B"/>
    <w:rsid w:val="0059544D"/>
    <w:rsid w:val="00595C18"/>
    <w:rsid w:val="005969D5"/>
    <w:rsid w:val="00597CC4"/>
    <w:rsid w:val="005A3B01"/>
    <w:rsid w:val="005B1CE9"/>
    <w:rsid w:val="005B7307"/>
    <w:rsid w:val="005C710A"/>
    <w:rsid w:val="005E2850"/>
    <w:rsid w:val="005F61D4"/>
    <w:rsid w:val="005F6752"/>
    <w:rsid w:val="006046B4"/>
    <w:rsid w:val="00605B49"/>
    <w:rsid w:val="00616878"/>
    <w:rsid w:val="00623ADF"/>
    <w:rsid w:val="00630BC8"/>
    <w:rsid w:val="0064179D"/>
    <w:rsid w:val="00652B9E"/>
    <w:rsid w:val="00652C4A"/>
    <w:rsid w:val="0066044E"/>
    <w:rsid w:val="00684892"/>
    <w:rsid w:val="006920F1"/>
    <w:rsid w:val="006952FB"/>
    <w:rsid w:val="006A0EA5"/>
    <w:rsid w:val="006A3680"/>
    <w:rsid w:val="006B0EE2"/>
    <w:rsid w:val="006B557B"/>
    <w:rsid w:val="006C125E"/>
    <w:rsid w:val="006C1AC9"/>
    <w:rsid w:val="006C492A"/>
    <w:rsid w:val="006C6DF5"/>
    <w:rsid w:val="006D7B05"/>
    <w:rsid w:val="006E282C"/>
    <w:rsid w:val="0070546A"/>
    <w:rsid w:val="007141F2"/>
    <w:rsid w:val="0073378B"/>
    <w:rsid w:val="007367B4"/>
    <w:rsid w:val="00757DAD"/>
    <w:rsid w:val="007669C6"/>
    <w:rsid w:val="007725F8"/>
    <w:rsid w:val="00774657"/>
    <w:rsid w:val="00785A4B"/>
    <w:rsid w:val="007915BA"/>
    <w:rsid w:val="007A1ED1"/>
    <w:rsid w:val="007A3147"/>
    <w:rsid w:val="007A460A"/>
    <w:rsid w:val="007B12EB"/>
    <w:rsid w:val="007B4350"/>
    <w:rsid w:val="007B701A"/>
    <w:rsid w:val="007E76EA"/>
    <w:rsid w:val="007F2407"/>
    <w:rsid w:val="00801886"/>
    <w:rsid w:val="00815918"/>
    <w:rsid w:val="008200EC"/>
    <w:rsid w:val="00837186"/>
    <w:rsid w:val="008401C1"/>
    <w:rsid w:val="00863F43"/>
    <w:rsid w:val="00864691"/>
    <w:rsid w:val="00871B96"/>
    <w:rsid w:val="00877727"/>
    <w:rsid w:val="00882985"/>
    <w:rsid w:val="00894AAE"/>
    <w:rsid w:val="00895E73"/>
    <w:rsid w:val="008A21B7"/>
    <w:rsid w:val="008A222D"/>
    <w:rsid w:val="008B2A69"/>
    <w:rsid w:val="008F2541"/>
    <w:rsid w:val="009069AE"/>
    <w:rsid w:val="009204B9"/>
    <w:rsid w:val="00924801"/>
    <w:rsid w:val="00935557"/>
    <w:rsid w:val="0096080F"/>
    <w:rsid w:val="00962833"/>
    <w:rsid w:val="00974634"/>
    <w:rsid w:val="00974CFD"/>
    <w:rsid w:val="00993B8F"/>
    <w:rsid w:val="009A4BFB"/>
    <w:rsid w:val="009B5DA1"/>
    <w:rsid w:val="009E2424"/>
    <w:rsid w:val="00A063E7"/>
    <w:rsid w:val="00A1148E"/>
    <w:rsid w:val="00A15EC6"/>
    <w:rsid w:val="00A178B7"/>
    <w:rsid w:val="00A31979"/>
    <w:rsid w:val="00A34B96"/>
    <w:rsid w:val="00A3529F"/>
    <w:rsid w:val="00A36610"/>
    <w:rsid w:val="00A411CB"/>
    <w:rsid w:val="00A52AAE"/>
    <w:rsid w:val="00A542DF"/>
    <w:rsid w:val="00A77D8F"/>
    <w:rsid w:val="00AB072D"/>
    <w:rsid w:val="00AC25FE"/>
    <w:rsid w:val="00AC3BD1"/>
    <w:rsid w:val="00AC659B"/>
    <w:rsid w:val="00AD378E"/>
    <w:rsid w:val="00AD3B85"/>
    <w:rsid w:val="00AD6749"/>
    <w:rsid w:val="00AE015D"/>
    <w:rsid w:val="00B1083A"/>
    <w:rsid w:val="00B11A03"/>
    <w:rsid w:val="00B23B8B"/>
    <w:rsid w:val="00B2684B"/>
    <w:rsid w:val="00B31AEF"/>
    <w:rsid w:val="00B322DC"/>
    <w:rsid w:val="00B8075C"/>
    <w:rsid w:val="00B91B41"/>
    <w:rsid w:val="00B9723B"/>
    <w:rsid w:val="00B97E18"/>
    <w:rsid w:val="00BA48CA"/>
    <w:rsid w:val="00BB1358"/>
    <w:rsid w:val="00BB3574"/>
    <w:rsid w:val="00BB7ACB"/>
    <w:rsid w:val="00BD120D"/>
    <w:rsid w:val="00BD699A"/>
    <w:rsid w:val="00BD7E44"/>
    <w:rsid w:val="00C0637E"/>
    <w:rsid w:val="00C26AFC"/>
    <w:rsid w:val="00C27DCB"/>
    <w:rsid w:val="00C41DF8"/>
    <w:rsid w:val="00C51AE4"/>
    <w:rsid w:val="00C5258D"/>
    <w:rsid w:val="00CA329E"/>
    <w:rsid w:val="00CA3693"/>
    <w:rsid w:val="00CB6003"/>
    <w:rsid w:val="00CE382F"/>
    <w:rsid w:val="00CF03AF"/>
    <w:rsid w:val="00CF2A25"/>
    <w:rsid w:val="00D038AB"/>
    <w:rsid w:val="00D062F6"/>
    <w:rsid w:val="00D1347A"/>
    <w:rsid w:val="00D22259"/>
    <w:rsid w:val="00D25F97"/>
    <w:rsid w:val="00D352E7"/>
    <w:rsid w:val="00D46C41"/>
    <w:rsid w:val="00D53352"/>
    <w:rsid w:val="00D639F2"/>
    <w:rsid w:val="00D73C8A"/>
    <w:rsid w:val="00D842AC"/>
    <w:rsid w:val="00D95CE2"/>
    <w:rsid w:val="00D979A1"/>
    <w:rsid w:val="00DA04DA"/>
    <w:rsid w:val="00DA0A4D"/>
    <w:rsid w:val="00DA139D"/>
    <w:rsid w:val="00DB68C8"/>
    <w:rsid w:val="00DC2567"/>
    <w:rsid w:val="00DC49FF"/>
    <w:rsid w:val="00DC6481"/>
    <w:rsid w:val="00DD31AC"/>
    <w:rsid w:val="00DE7E8C"/>
    <w:rsid w:val="00DF710B"/>
    <w:rsid w:val="00E03CE8"/>
    <w:rsid w:val="00E11DBE"/>
    <w:rsid w:val="00E220FB"/>
    <w:rsid w:val="00E23C4A"/>
    <w:rsid w:val="00E24C35"/>
    <w:rsid w:val="00E27E12"/>
    <w:rsid w:val="00E53829"/>
    <w:rsid w:val="00E569AC"/>
    <w:rsid w:val="00E62E46"/>
    <w:rsid w:val="00E665CB"/>
    <w:rsid w:val="00E71057"/>
    <w:rsid w:val="00E72A62"/>
    <w:rsid w:val="00E833B1"/>
    <w:rsid w:val="00E85E49"/>
    <w:rsid w:val="00E96548"/>
    <w:rsid w:val="00EA605F"/>
    <w:rsid w:val="00EB7457"/>
    <w:rsid w:val="00EC0D9D"/>
    <w:rsid w:val="00ED2BBB"/>
    <w:rsid w:val="00ED668B"/>
    <w:rsid w:val="00EF01F1"/>
    <w:rsid w:val="00F22E05"/>
    <w:rsid w:val="00F45971"/>
    <w:rsid w:val="00F5508B"/>
    <w:rsid w:val="00F6758D"/>
    <w:rsid w:val="00F7173E"/>
    <w:rsid w:val="00F81DD2"/>
    <w:rsid w:val="00F85C02"/>
    <w:rsid w:val="00FA4CA2"/>
    <w:rsid w:val="00FA690B"/>
    <w:rsid w:val="00FB5CA6"/>
    <w:rsid w:val="00FC2ED6"/>
    <w:rsid w:val="00FD01BB"/>
    <w:rsid w:val="00FE292D"/>
    <w:rsid w:val="00FE386F"/>
    <w:rsid w:val="00FE5E68"/>
    <w:rsid w:val="00FF59F6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03"/>
    <w:pPr>
      <w:ind w:left="720"/>
      <w:contextualSpacing/>
    </w:pPr>
  </w:style>
  <w:style w:type="paragraph" w:customStyle="1" w:styleId="Default">
    <w:name w:val="Default"/>
    <w:rsid w:val="000B58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B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2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B9E"/>
    <w:rPr>
      <w:rFonts w:ascii="Calibri" w:hAnsi="Calibri" w:cs="Calibri"/>
    </w:rPr>
  </w:style>
  <w:style w:type="paragraph" w:styleId="NoSpacing">
    <w:name w:val="No Spacing"/>
    <w:uiPriority w:val="1"/>
    <w:qFormat/>
    <w:rsid w:val="00A5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23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29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23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Rentia Agenbag</dc:creator>
  <cp:lastModifiedBy>USER</cp:lastModifiedBy>
  <cp:revision>2</cp:revision>
  <cp:lastPrinted>2022-02-24T11:25:00Z</cp:lastPrinted>
  <dcterms:created xsi:type="dcterms:W3CDTF">2022-03-25T16:13:00Z</dcterms:created>
  <dcterms:modified xsi:type="dcterms:W3CDTF">2022-03-25T16:13:00Z</dcterms:modified>
</cp:coreProperties>
</file>