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44600"/>
                    </a:xfrm>
                    <a:prstGeom prst="rect">
                      <a:avLst/>
                    </a:prstGeom>
                    <a:noFill/>
                  </pic:spPr>
                </pic:pic>
              </a:graphicData>
            </a:graphic>
          </wp:inline>
        </w:drawing>
      </w:r>
    </w:p>
    <w:p w:rsidR="00F144E0" w:rsidRPr="008F1128" w:rsidRDefault="00B275E8" w:rsidP="0099546F">
      <w:pPr>
        <w:spacing w:after="0" w:line="360" w:lineRule="auto"/>
        <w:jc w:val="center"/>
        <w:rPr>
          <w:rFonts w:ascii="Arial" w:hAnsi="Arial" w:cs="Arial"/>
          <w:b/>
        </w:rPr>
      </w:pPr>
      <w:r w:rsidRPr="008F1128">
        <w:rPr>
          <w:rFonts w:ascii="Arial" w:hAnsi="Arial" w:cs="Arial"/>
          <w:b/>
        </w:rPr>
        <w:t>NATIONAL</w:t>
      </w:r>
      <w:r w:rsidR="0074150D" w:rsidRPr="008F1128">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8D3967" w:rsidRPr="00703DDE" w:rsidRDefault="008D3967" w:rsidP="0099546F">
      <w:pPr>
        <w:spacing w:after="0" w:line="360" w:lineRule="auto"/>
        <w:jc w:val="center"/>
        <w:rPr>
          <w:rFonts w:ascii="Arial" w:hAnsi="Arial" w:cs="Arial"/>
          <w:b/>
        </w:rPr>
      </w:pPr>
      <w:r>
        <w:rPr>
          <w:rFonts w:ascii="Arial" w:hAnsi="Arial" w:cs="Arial"/>
          <w:b/>
        </w:rPr>
        <w:t>DUE TO PARLIAMENT: FRIDAY, 2 DECEMBER 2022</w:t>
      </w:r>
    </w:p>
    <w:p w:rsidR="00703DDE" w:rsidRPr="00703DDE" w:rsidRDefault="00703DDE" w:rsidP="0099546F">
      <w:pPr>
        <w:spacing w:after="0" w:line="360" w:lineRule="auto"/>
        <w:jc w:val="center"/>
        <w:rPr>
          <w:rFonts w:ascii="Arial" w:hAnsi="Arial" w:cs="Arial"/>
          <w:b/>
        </w:rPr>
      </w:pPr>
    </w:p>
    <w:p w:rsidR="00BC409F" w:rsidRPr="00BC409F" w:rsidRDefault="00BC409F" w:rsidP="00BC409F">
      <w:pPr>
        <w:spacing w:after="0" w:line="360" w:lineRule="auto"/>
        <w:ind w:left="720" w:hanging="720"/>
        <w:jc w:val="both"/>
        <w:rPr>
          <w:rFonts w:ascii="Arial" w:hAnsi="Arial" w:cs="Arial"/>
          <w:b/>
        </w:rPr>
      </w:pPr>
      <w:r>
        <w:rPr>
          <w:rFonts w:ascii="Arial" w:hAnsi="Arial" w:cs="Arial"/>
          <w:b/>
        </w:rPr>
        <w:t>“</w:t>
      </w:r>
      <w:r w:rsidRPr="00BC409F">
        <w:rPr>
          <w:rFonts w:ascii="Arial" w:hAnsi="Arial" w:cs="Arial"/>
          <w:b/>
        </w:rPr>
        <w:t>4367.</w:t>
      </w:r>
      <w:r w:rsidRPr="00BC409F">
        <w:rPr>
          <w:rFonts w:ascii="Arial" w:hAnsi="Arial" w:cs="Arial"/>
          <w:b/>
        </w:rPr>
        <w:tab/>
        <w:t>Mr H C C Krüger (DA) to ask the Minister of Small Business Development:</w:t>
      </w:r>
    </w:p>
    <w:p w:rsidR="00556047" w:rsidRDefault="00BC409F" w:rsidP="00BC409F">
      <w:pPr>
        <w:spacing w:after="0" w:line="360" w:lineRule="auto"/>
        <w:ind w:left="720"/>
        <w:jc w:val="both"/>
        <w:rPr>
          <w:rFonts w:ascii="Arial" w:hAnsi="Arial" w:cs="Arial"/>
          <w:b/>
          <w:bCs/>
          <w:lang/>
        </w:rPr>
      </w:pPr>
      <w:r w:rsidRPr="00BC409F">
        <w:rPr>
          <w:rFonts w:ascii="Arial" w:hAnsi="Arial" w:cs="Arial"/>
          <w:b/>
        </w:rPr>
        <w:t>Whether her department has signed memoranda of understanding and/or transversal agreements with any other departments; if not, what is the position in this regard; if so, what are the relevant details?</w:t>
      </w:r>
      <w:r>
        <w:rPr>
          <w:rFonts w:ascii="Arial" w:hAnsi="Arial" w:cs="Arial"/>
          <w:b/>
        </w:rPr>
        <w:t>”</w:t>
      </w:r>
      <w:r w:rsidR="008D3967">
        <w:rPr>
          <w:rFonts w:ascii="Arial" w:hAnsi="Arial" w:cs="Arial"/>
          <w:b/>
        </w:rPr>
        <w:t xml:space="preserve"> </w:t>
      </w:r>
      <w:r w:rsidRPr="00BC409F">
        <w:rPr>
          <w:rFonts w:ascii="Arial" w:hAnsi="Arial" w:cs="Arial"/>
          <w:b/>
        </w:rPr>
        <w:t>NW5491E</w:t>
      </w:r>
    </w:p>
    <w:p w:rsidR="008F1128" w:rsidRDefault="008F1128"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756939">
        <w:rPr>
          <w:rFonts w:ascii="Arial" w:hAnsi="Arial" w:cs="Arial"/>
          <w:b/>
          <w:bCs/>
          <w:lang/>
        </w:rPr>
        <w:t xml:space="preserve"> I have been advised by the department as follows:</w:t>
      </w:r>
    </w:p>
    <w:p w:rsidR="00756939" w:rsidRDefault="00756939" w:rsidP="00B275E8">
      <w:pPr>
        <w:spacing w:after="0" w:line="360" w:lineRule="auto"/>
        <w:ind w:left="720" w:hanging="720"/>
        <w:jc w:val="both"/>
        <w:rPr>
          <w:rFonts w:ascii="Arial" w:hAnsi="Arial" w:cs="Arial"/>
          <w:b/>
          <w:bCs/>
          <w:lang/>
        </w:rPr>
      </w:pPr>
    </w:p>
    <w:p w:rsidR="006D3D3A" w:rsidRDefault="0089770F" w:rsidP="00651E50">
      <w:pPr>
        <w:spacing w:after="0" w:line="360" w:lineRule="auto"/>
        <w:jc w:val="both"/>
        <w:rPr>
          <w:rFonts w:ascii="Arial" w:hAnsi="Arial" w:cs="Arial"/>
          <w:lang/>
        </w:rPr>
      </w:pPr>
      <w:r w:rsidRPr="0089770F">
        <w:rPr>
          <w:rFonts w:ascii="Arial" w:hAnsi="Arial" w:cs="Arial"/>
          <w:lang/>
        </w:rPr>
        <w:t>The Department of Small Business Development (DSBD) has signed Memoranda of Understanding</w:t>
      </w:r>
      <w:r w:rsidR="00E4409B">
        <w:rPr>
          <w:rFonts w:ascii="Arial" w:hAnsi="Arial" w:cs="Arial"/>
          <w:lang/>
        </w:rPr>
        <w:t xml:space="preserve"> (MoU’s)</w:t>
      </w:r>
      <w:r w:rsidRPr="0089770F">
        <w:rPr>
          <w:rFonts w:ascii="Arial" w:hAnsi="Arial" w:cs="Arial"/>
          <w:lang/>
        </w:rPr>
        <w:t xml:space="preserve"> and/or transversal agreements</w:t>
      </w:r>
      <w:r w:rsidR="008D3967">
        <w:rPr>
          <w:rFonts w:ascii="Arial" w:hAnsi="Arial" w:cs="Arial"/>
          <w:lang/>
        </w:rPr>
        <w:t xml:space="preserve"> with</w:t>
      </w:r>
      <w:r w:rsidRPr="0089770F">
        <w:rPr>
          <w:rFonts w:ascii="Arial" w:hAnsi="Arial" w:cs="Arial"/>
          <w:lang/>
        </w:rPr>
        <w:t xml:space="preserve"> several departments</w:t>
      </w:r>
      <w:r w:rsidR="00D2202B">
        <w:rPr>
          <w:rFonts w:ascii="Arial" w:hAnsi="Arial" w:cs="Arial"/>
          <w:lang/>
        </w:rPr>
        <w:t xml:space="preserve"> and various agencies</w:t>
      </w:r>
      <w:r w:rsidRPr="0089770F">
        <w:rPr>
          <w:rFonts w:ascii="Arial" w:hAnsi="Arial" w:cs="Arial"/>
          <w:lang/>
        </w:rPr>
        <w:t>. The following table provides the details of the</w:t>
      </w:r>
      <w:r w:rsidR="00D2202B">
        <w:rPr>
          <w:rFonts w:ascii="Arial" w:hAnsi="Arial" w:cs="Arial"/>
          <w:lang/>
        </w:rPr>
        <w:t xml:space="preserve"> agreements signed with departments</w:t>
      </w:r>
      <w:r w:rsidRPr="0089770F">
        <w:rPr>
          <w:rFonts w:ascii="Arial" w:hAnsi="Arial" w:cs="Arial"/>
          <w:lang/>
        </w:rPr>
        <w:t>:</w:t>
      </w:r>
    </w:p>
    <w:tbl>
      <w:tblPr>
        <w:tblStyle w:val="TableGrid"/>
        <w:tblW w:w="14312" w:type="dxa"/>
        <w:tblLook w:val="04A0"/>
      </w:tblPr>
      <w:tblGrid>
        <w:gridCol w:w="561"/>
        <w:gridCol w:w="2695"/>
        <w:gridCol w:w="11056"/>
      </w:tblGrid>
      <w:tr w:rsidR="008D3967" w:rsidRPr="00F0081A" w:rsidTr="008D3967">
        <w:tc>
          <w:tcPr>
            <w:tcW w:w="14312" w:type="dxa"/>
            <w:gridSpan w:val="3"/>
            <w:shd w:val="clear" w:color="auto" w:fill="92D050"/>
          </w:tcPr>
          <w:p w:rsidR="008D3967" w:rsidRPr="00F0081A" w:rsidRDefault="003B0516" w:rsidP="00F0081A">
            <w:pPr>
              <w:spacing w:after="0" w:line="240" w:lineRule="auto"/>
              <w:jc w:val="center"/>
              <w:rPr>
                <w:rFonts w:ascii="Arial" w:hAnsi="Arial" w:cs="Arial"/>
                <w:b/>
                <w:bCs/>
                <w:sz w:val="20"/>
                <w:szCs w:val="20"/>
                <w:lang/>
              </w:rPr>
            </w:pPr>
            <w:r w:rsidRPr="00F0081A">
              <w:rPr>
                <w:rFonts w:ascii="Arial" w:hAnsi="Arial" w:cs="Arial"/>
                <w:b/>
                <w:bCs/>
                <w:sz w:val="20"/>
                <w:szCs w:val="20"/>
                <w:lang/>
              </w:rPr>
              <w:t>MEMORANDUM OF AGREEMENT</w:t>
            </w:r>
          </w:p>
        </w:tc>
      </w:tr>
      <w:tr w:rsidR="008D3967" w:rsidRPr="00F0081A" w:rsidTr="008D3967">
        <w:tc>
          <w:tcPr>
            <w:tcW w:w="561" w:type="dxa"/>
            <w:shd w:val="clear" w:color="auto" w:fill="92D050"/>
          </w:tcPr>
          <w:p w:rsidR="008D3967" w:rsidRPr="00F0081A" w:rsidRDefault="008D3967" w:rsidP="00F0081A">
            <w:pPr>
              <w:spacing w:after="0" w:line="240" w:lineRule="auto"/>
              <w:jc w:val="center"/>
              <w:rPr>
                <w:rFonts w:ascii="Arial" w:hAnsi="Arial" w:cs="Arial"/>
                <w:b/>
                <w:bCs/>
                <w:sz w:val="20"/>
                <w:szCs w:val="20"/>
                <w:lang/>
              </w:rPr>
            </w:pPr>
            <w:bookmarkStart w:id="0" w:name="_Hlk120028838"/>
            <w:r w:rsidRPr="00F0081A">
              <w:rPr>
                <w:rFonts w:ascii="Arial" w:hAnsi="Arial" w:cs="Arial"/>
                <w:b/>
                <w:bCs/>
                <w:sz w:val="20"/>
                <w:szCs w:val="20"/>
                <w:lang/>
              </w:rPr>
              <w:t>No.</w:t>
            </w:r>
          </w:p>
        </w:tc>
        <w:tc>
          <w:tcPr>
            <w:tcW w:w="2695" w:type="dxa"/>
            <w:shd w:val="clear" w:color="auto" w:fill="92D050"/>
          </w:tcPr>
          <w:p w:rsidR="008D3967" w:rsidRPr="00F0081A" w:rsidRDefault="008D3967" w:rsidP="00F0081A">
            <w:pPr>
              <w:spacing w:after="0" w:line="240" w:lineRule="auto"/>
              <w:jc w:val="center"/>
              <w:rPr>
                <w:rFonts w:ascii="Arial" w:hAnsi="Arial" w:cs="Arial"/>
                <w:b/>
                <w:bCs/>
                <w:sz w:val="20"/>
                <w:szCs w:val="20"/>
                <w:lang/>
              </w:rPr>
            </w:pPr>
            <w:r w:rsidRPr="00F0081A">
              <w:rPr>
                <w:rFonts w:ascii="Arial" w:hAnsi="Arial" w:cs="Arial"/>
                <w:b/>
                <w:bCs/>
                <w:sz w:val="20"/>
                <w:szCs w:val="20"/>
                <w:lang/>
              </w:rPr>
              <w:t>Institutions</w:t>
            </w:r>
          </w:p>
        </w:tc>
        <w:tc>
          <w:tcPr>
            <w:tcW w:w="11056" w:type="dxa"/>
            <w:shd w:val="clear" w:color="auto" w:fill="92D050"/>
          </w:tcPr>
          <w:p w:rsidR="008D3967" w:rsidRPr="00F0081A" w:rsidRDefault="008D3967" w:rsidP="00F0081A">
            <w:pPr>
              <w:spacing w:after="0" w:line="240" w:lineRule="auto"/>
              <w:jc w:val="center"/>
              <w:rPr>
                <w:rFonts w:ascii="Arial" w:hAnsi="Arial" w:cs="Arial"/>
                <w:b/>
                <w:bCs/>
                <w:sz w:val="20"/>
                <w:szCs w:val="20"/>
                <w:lang/>
              </w:rPr>
            </w:pPr>
            <w:r w:rsidRPr="00F0081A">
              <w:rPr>
                <w:rFonts w:ascii="Arial" w:hAnsi="Arial" w:cs="Arial"/>
                <w:b/>
                <w:bCs/>
                <w:sz w:val="20"/>
                <w:szCs w:val="20"/>
                <w:lang/>
              </w:rPr>
              <w:t>Detail of the agreement</w:t>
            </w:r>
          </w:p>
        </w:tc>
      </w:tr>
      <w:bookmarkEnd w:id="0"/>
      <w:tr w:rsidR="008D3967" w:rsidRPr="00F0081A" w:rsidTr="008D3967">
        <w:tc>
          <w:tcPr>
            <w:tcW w:w="561" w:type="dxa"/>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1.</w:t>
            </w:r>
          </w:p>
        </w:tc>
        <w:tc>
          <w:tcPr>
            <w:tcW w:w="2695" w:type="dxa"/>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DSBD and the KwaZulu-Natal Department of Economic Development, Tourism and Environmental Affairs (KZN EDTEA)</w:t>
            </w:r>
          </w:p>
        </w:tc>
        <w:tc>
          <w:tcPr>
            <w:tcW w:w="11056" w:type="dxa"/>
          </w:tcPr>
          <w:p w:rsidR="008D3967"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 xml:space="preserve">The Parties undertake to collaborate in the area of Red Tape Reduction with the general understanding that red tape is defined as rules and regulations, administrative and management procedures and systems, which are not, or are no longer effective in achieving their intended objectives, and which therefore produce sub-optimal and undesired social outcomes.  </w:t>
            </w:r>
          </w:p>
          <w:p w:rsidR="008D3967" w:rsidRDefault="008D3967" w:rsidP="00F0081A">
            <w:pPr>
              <w:spacing w:after="0" w:line="240" w:lineRule="auto"/>
              <w:jc w:val="both"/>
              <w:rPr>
                <w:rFonts w:ascii="Arial" w:hAnsi="Arial" w:cs="Arial"/>
                <w:sz w:val="20"/>
                <w:szCs w:val="20"/>
                <w:lang/>
              </w:rPr>
            </w:pPr>
          </w:p>
          <w:p w:rsidR="008D3967" w:rsidRPr="00886115" w:rsidRDefault="008D3967" w:rsidP="00886115">
            <w:pPr>
              <w:spacing w:after="0" w:line="240" w:lineRule="auto"/>
              <w:ind w:left="463" w:hanging="425"/>
              <w:jc w:val="both"/>
              <w:rPr>
                <w:rFonts w:ascii="Arial" w:hAnsi="Arial" w:cs="Arial"/>
                <w:sz w:val="20"/>
                <w:szCs w:val="20"/>
                <w:lang/>
              </w:rPr>
            </w:pPr>
            <w:r w:rsidRPr="00886115">
              <w:rPr>
                <w:rFonts w:ascii="Arial" w:hAnsi="Arial" w:cs="Arial"/>
                <w:sz w:val="20"/>
                <w:szCs w:val="20"/>
                <w:lang/>
              </w:rPr>
              <w:t>1.</w:t>
            </w:r>
            <w:r w:rsidRPr="00886115">
              <w:rPr>
                <w:rFonts w:ascii="Arial" w:hAnsi="Arial" w:cs="Arial"/>
                <w:sz w:val="20"/>
                <w:szCs w:val="20"/>
                <w:lang/>
              </w:rPr>
              <w:tab/>
            </w:r>
            <w:r>
              <w:rPr>
                <w:rFonts w:ascii="Arial" w:hAnsi="Arial" w:cs="Arial"/>
                <w:sz w:val="20"/>
                <w:szCs w:val="20"/>
                <w:lang/>
              </w:rPr>
              <w:t>DSBD</w:t>
            </w:r>
            <w:r w:rsidRPr="00886115">
              <w:rPr>
                <w:rFonts w:ascii="Arial" w:hAnsi="Arial" w:cs="Arial"/>
                <w:sz w:val="20"/>
                <w:szCs w:val="20"/>
                <w:lang/>
              </w:rPr>
              <w:t xml:space="preserve"> work in a clear and disciplined relationship on Red Tape Reduction/Ease of </w:t>
            </w:r>
            <w:r>
              <w:rPr>
                <w:rFonts w:ascii="Arial" w:hAnsi="Arial" w:cs="Arial"/>
                <w:sz w:val="20"/>
                <w:szCs w:val="20"/>
                <w:lang/>
              </w:rPr>
              <w:t>d</w:t>
            </w:r>
            <w:r w:rsidRPr="00886115">
              <w:rPr>
                <w:rFonts w:ascii="Arial" w:hAnsi="Arial" w:cs="Arial"/>
                <w:sz w:val="20"/>
                <w:szCs w:val="20"/>
                <w:lang/>
              </w:rPr>
              <w:t xml:space="preserve">oing Business between the </w:t>
            </w:r>
            <w:r>
              <w:rPr>
                <w:rFonts w:ascii="Arial" w:hAnsi="Arial" w:cs="Arial"/>
                <w:sz w:val="20"/>
                <w:szCs w:val="20"/>
                <w:lang/>
              </w:rPr>
              <w:t>DSBD</w:t>
            </w:r>
            <w:r w:rsidRPr="00886115">
              <w:rPr>
                <w:rFonts w:ascii="Arial" w:hAnsi="Arial" w:cs="Arial"/>
                <w:sz w:val="20"/>
                <w:szCs w:val="20"/>
                <w:lang/>
              </w:rPr>
              <w:t xml:space="preserve"> and the KwaZulu-Natal Provincial Departments.</w:t>
            </w:r>
          </w:p>
          <w:p w:rsidR="008D3967" w:rsidRPr="00886115" w:rsidRDefault="008D3967" w:rsidP="00886115">
            <w:pPr>
              <w:spacing w:after="0" w:line="240" w:lineRule="auto"/>
              <w:ind w:left="463" w:hanging="425"/>
              <w:jc w:val="both"/>
              <w:rPr>
                <w:rFonts w:ascii="Arial" w:hAnsi="Arial" w:cs="Arial"/>
                <w:sz w:val="20"/>
                <w:szCs w:val="20"/>
                <w:lang/>
              </w:rPr>
            </w:pPr>
            <w:r w:rsidRPr="00886115">
              <w:rPr>
                <w:rFonts w:ascii="Arial" w:hAnsi="Arial" w:cs="Arial"/>
                <w:sz w:val="20"/>
                <w:szCs w:val="20"/>
                <w:lang/>
              </w:rPr>
              <w:t>2.</w:t>
            </w:r>
            <w:r w:rsidRPr="00886115">
              <w:rPr>
                <w:rFonts w:ascii="Arial" w:hAnsi="Arial" w:cs="Arial"/>
                <w:sz w:val="20"/>
                <w:szCs w:val="20"/>
                <w:lang/>
              </w:rPr>
              <w:tab/>
            </w:r>
            <w:r>
              <w:rPr>
                <w:rFonts w:ascii="Arial" w:hAnsi="Arial" w:cs="Arial"/>
                <w:sz w:val="20"/>
                <w:szCs w:val="20"/>
                <w:lang/>
              </w:rPr>
              <w:t>DSBD has</w:t>
            </w:r>
            <w:r w:rsidRPr="00886115">
              <w:rPr>
                <w:rFonts w:ascii="Arial" w:hAnsi="Arial" w:cs="Arial"/>
                <w:sz w:val="20"/>
                <w:szCs w:val="20"/>
                <w:lang/>
              </w:rPr>
              <w:t xml:space="preserve"> developed a province specific Programmes of Action, addressing Capacity Building and other mechanisms, over a three-year cycle to provide this disciplined relations and collaborative action to reduce Red Tape and unleash the potential small businesses in this province.</w:t>
            </w:r>
          </w:p>
          <w:p w:rsidR="008D3967" w:rsidRPr="00886115" w:rsidRDefault="008D3967" w:rsidP="00886115">
            <w:pPr>
              <w:spacing w:after="0" w:line="240" w:lineRule="auto"/>
              <w:ind w:left="463" w:hanging="425"/>
              <w:jc w:val="both"/>
              <w:rPr>
                <w:rFonts w:ascii="Arial" w:hAnsi="Arial" w:cs="Arial"/>
                <w:sz w:val="20"/>
                <w:szCs w:val="20"/>
                <w:lang/>
              </w:rPr>
            </w:pPr>
            <w:r w:rsidRPr="00886115">
              <w:rPr>
                <w:rFonts w:ascii="Arial" w:hAnsi="Arial" w:cs="Arial"/>
                <w:sz w:val="20"/>
                <w:szCs w:val="20"/>
                <w:lang/>
              </w:rPr>
              <w:t>3.</w:t>
            </w:r>
            <w:r w:rsidRPr="00886115">
              <w:rPr>
                <w:rFonts w:ascii="Arial" w:hAnsi="Arial" w:cs="Arial"/>
                <w:sz w:val="20"/>
                <w:szCs w:val="20"/>
                <w:lang/>
              </w:rPr>
              <w:tab/>
              <w:t xml:space="preserve">The Programme of Action developed for the province is aligned with government’s “One Plan” district and metro model and finds expression in both the DSBD’s as well as the provincial partners’ Annual Performance Plans (APPs). </w:t>
            </w:r>
            <w:r w:rsidRPr="00886115">
              <w:rPr>
                <w:rFonts w:ascii="Arial" w:hAnsi="Arial" w:cs="Arial"/>
                <w:sz w:val="20"/>
                <w:szCs w:val="20"/>
                <w:lang/>
              </w:rPr>
              <w:lastRenderedPageBreak/>
              <w:t>This integrated planning, standardi</w:t>
            </w:r>
            <w:r>
              <w:rPr>
                <w:rFonts w:ascii="Arial" w:hAnsi="Arial" w:cs="Arial"/>
                <w:sz w:val="20"/>
                <w:szCs w:val="20"/>
                <w:lang/>
              </w:rPr>
              <w:t>s</w:t>
            </w:r>
            <w:r w:rsidRPr="00886115">
              <w:rPr>
                <w:rFonts w:ascii="Arial" w:hAnsi="Arial" w:cs="Arial"/>
                <w:sz w:val="20"/>
                <w:szCs w:val="20"/>
                <w:lang/>
              </w:rPr>
              <w:t>ation and alignment of indicators involves all relevant provincial and local government officials, including Provincial COGTA, in its execution.</w:t>
            </w:r>
          </w:p>
          <w:p w:rsidR="008D3967" w:rsidRPr="00886115" w:rsidRDefault="008D3967" w:rsidP="00886115">
            <w:pPr>
              <w:spacing w:after="0" w:line="240" w:lineRule="auto"/>
              <w:ind w:left="463" w:hanging="425"/>
              <w:jc w:val="both"/>
              <w:rPr>
                <w:rFonts w:ascii="Arial" w:hAnsi="Arial" w:cs="Arial"/>
                <w:sz w:val="20"/>
                <w:szCs w:val="20"/>
                <w:lang/>
              </w:rPr>
            </w:pPr>
            <w:r w:rsidRPr="00886115">
              <w:rPr>
                <w:rFonts w:ascii="Arial" w:hAnsi="Arial" w:cs="Arial"/>
                <w:sz w:val="20"/>
                <w:szCs w:val="20"/>
                <w:lang/>
              </w:rPr>
              <w:t>4.</w:t>
            </w:r>
            <w:r w:rsidRPr="00886115">
              <w:rPr>
                <w:rFonts w:ascii="Arial" w:hAnsi="Arial" w:cs="Arial"/>
                <w:sz w:val="20"/>
                <w:szCs w:val="20"/>
                <w:lang/>
              </w:rPr>
              <w:tab/>
              <w:t xml:space="preserve">This is a journey that </w:t>
            </w:r>
            <w:r>
              <w:rPr>
                <w:rFonts w:ascii="Arial" w:hAnsi="Arial" w:cs="Arial"/>
                <w:sz w:val="20"/>
                <w:szCs w:val="20"/>
                <w:lang/>
              </w:rPr>
              <w:t>p</w:t>
            </w:r>
            <w:r w:rsidRPr="00886115">
              <w:rPr>
                <w:rFonts w:ascii="Arial" w:hAnsi="Arial" w:cs="Arial"/>
                <w:sz w:val="20"/>
                <w:szCs w:val="20"/>
                <w:lang/>
              </w:rPr>
              <w:t xml:space="preserve">rovinces cannot take alone, EDTEA, COGTA, SALGA, OTP are integral partners to the process.  </w:t>
            </w:r>
          </w:p>
          <w:p w:rsidR="008D3967" w:rsidRPr="00886115" w:rsidRDefault="008D3967" w:rsidP="00886115">
            <w:pPr>
              <w:spacing w:after="0" w:line="240" w:lineRule="auto"/>
              <w:ind w:left="463" w:hanging="425"/>
              <w:jc w:val="both"/>
              <w:rPr>
                <w:rFonts w:ascii="Arial" w:hAnsi="Arial" w:cs="Arial"/>
                <w:sz w:val="20"/>
                <w:szCs w:val="20"/>
                <w:lang/>
              </w:rPr>
            </w:pPr>
            <w:r w:rsidRPr="00886115">
              <w:rPr>
                <w:rFonts w:ascii="Arial" w:hAnsi="Arial" w:cs="Arial"/>
                <w:sz w:val="20"/>
                <w:szCs w:val="20"/>
                <w:lang/>
              </w:rPr>
              <w:t>5.</w:t>
            </w:r>
            <w:r w:rsidRPr="00886115">
              <w:rPr>
                <w:rFonts w:ascii="Arial" w:hAnsi="Arial" w:cs="Arial"/>
                <w:sz w:val="20"/>
                <w:szCs w:val="20"/>
                <w:lang/>
              </w:rPr>
              <w:tab/>
              <w:t>A separate TOR for the relationship governing the collaboration between Provincial EDTEA, COGTA, SALGA, OTP and in some instances also Provincial Treasuries are also required internally.</w:t>
            </w:r>
          </w:p>
          <w:p w:rsidR="008D3967" w:rsidRPr="00F0081A" w:rsidRDefault="008D3967" w:rsidP="00F0081A">
            <w:pPr>
              <w:spacing w:after="0" w:line="240" w:lineRule="auto"/>
              <w:jc w:val="both"/>
              <w:rPr>
                <w:rFonts w:ascii="Arial" w:hAnsi="Arial" w:cs="Arial"/>
                <w:sz w:val="20"/>
                <w:szCs w:val="20"/>
                <w:lang/>
              </w:rPr>
            </w:pP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Geographical reach:  Kwa-Zulu Natal province.</w:t>
            </w:r>
          </w:p>
        </w:tc>
      </w:tr>
      <w:tr w:rsidR="008D3967" w:rsidRPr="00F0081A" w:rsidTr="008D3967">
        <w:tc>
          <w:tcPr>
            <w:tcW w:w="561" w:type="dxa"/>
          </w:tcPr>
          <w:p w:rsidR="008D3967" w:rsidRPr="00F0081A" w:rsidRDefault="00D2202B" w:rsidP="004854CD">
            <w:pPr>
              <w:spacing w:after="0" w:line="240" w:lineRule="auto"/>
              <w:jc w:val="both"/>
              <w:rPr>
                <w:rFonts w:ascii="Arial" w:hAnsi="Arial" w:cs="Arial"/>
                <w:sz w:val="20"/>
                <w:szCs w:val="20"/>
                <w:lang/>
              </w:rPr>
            </w:pPr>
            <w:r>
              <w:rPr>
                <w:rFonts w:ascii="Arial" w:hAnsi="Arial" w:cs="Arial"/>
                <w:sz w:val="20"/>
                <w:szCs w:val="20"/>
                <w:lang/>
              </w:rPr>
              <w:lastRenderedPageBreak/>
              <w:t>2</w:t>
            </w:r>
            <w:r w:rsidR="008D3967" w:rsidRPr="00F0081A">
              <w:rPr>
                <w:rFonts w:ascii="Arial" w:hAnsi="Arial" w:cs="Arial"/>
                <w:sz w:val="20"/>
                <w:szCs w:val="20"/>
                <w:lang/>
              </w:rPr>
              <w:t>.</w:t>
            </w:r>
          </w:p>
        </w:tc>
        <w:tc>
          <w:tcPr>
            <w:tcW w:w="2695" w:type="dxa"/>
          </w:tcPr>
          <w:p w:rsidR="008D3967" w:rsidRPr="00F0081A" w:rsidRDefault="008D3967" w:rsidP="004854CD">
            <w:pPr>
              <w:spacing w:after="0" w:line="240" w:lineRule="auto"/>
              <w:jc w:val="both"/>
              <w:rPr>
                <w:rFonts w:ascii="Arial" w:hAnsi="Arial" w:cs="Arial"/>
                <w:sz w:val="20"/>
                <w:szCs w:val="20"/>
                <w:lang/>
              </w:rPr>
            </w:pPr>
            <w:r w:rsidRPr="00F0081A">
              <w:rPr>
                <w:rFonts w:ascii="Arial" w:hAnsi="Arial" w:cs="Arial"/>
                <w:sz w:val="20"/>
                <w:szCs w:val="20"/>
                <w:lang/>
              </w:rPr>
              <w:t>Limpopo Department of Economic Development, Environment and Tourism (LEDET)</w:t>
            </w:r>
          </w:p>
        </w:tc>
        <w:tc>
          <w:tcPr>
            <w:tcW w:w="11056" w:type="dxa"/>
          </w:tcPr>
          <w:p w:rsidR="008D3967" w:rsidRPr="00F0081A" w:rsidRDefault="008D3967" w:rsidP="004854CD">
            <w:pPr>
              <w:spacing w:after="0" w:line="240" w:lineRule="auto"/>
              <w:jc w:val="both"/>
              <w:rPr>
                <w:rFonts w:ascii="Arial" w:hAnsi="Arial" w:cs="Arial"/>
                <w:sz w:val="20"/>
                <w:szCs w:val="20"/>
                <w:lang/>
              </w:rPr>
            </w:pPr>
            <w:r w:rsidRPr="00F0081A">
              <w:rPr>
                <w:rFonts w:ascii="Arial" w:hAnsi="Arial" w:cs="Arial"/>
                <w:sz w:val="20"/>
                <w:szCs w:val="20"/>
                <w:lang/>
              </w:rPr>
              <w:t>The Parties undertake to collaborate in the area of Red Tape Reduction with the general understanding that red tape is defined as rules and regulations, administrative and management procedures and systems, which are not, or are no longer, effective in achieving their intended objectives, and which therefore produce sub-optimal and undesired social outcomes.</w:t>
            </w:r>
          </w:p>
          <w:p w:rsidR="008D3967" w:rsidRDefault="008D3967" w:rsidP="004854CD">
            <w:pPr>
              <w:spacing w:after="0" w:line="240" w:lineRule="auto"/>
              <w:jc w:val="both"/>
              <w:rPr>
                <w:rFonts w:ascii="Arial" w:hAnsi="Arial" w:cs="Arial"/>
                <w:sz w:val="20"/>
                <w:szCs w:val="20"/>
                <w:lang/>
              </w:rPr>
            </w:pPr>
          </w:p>
          <w:p w:rsidR="008D3967" w:rsidRPr="00BD1B97" w:rsidRDefault="008D3967" w:rsidP="00BD1B97">
            <w:pPr>
              <w:spacing w:after="0" w:line="240" w:lineRule="auto"/>
              <w:ind w:left="463" w:hanging="463"/>
              <w:jc w:val="both"/>
              <w:rPr>
                <w:rFonts w:ascii="Arial" w:hAnsi="Arial" w:cs="Arial"/>
                <w:sz w:val="20"/>
                <w:szCs w:val="20"/>
                <w:lang/>
              </w:rPr>
            </w:pPr>
            <w:r w:rsidRPr="00BD1B97">
              <w:rPr>
                <w:rFonts w:ascii="Arial" w:hAnsi="Arial" w:cs="Arial"/>
                <w:sz w:val="20"/>
                <w:szCs w:val="20"/>
                <w:lang/>
              </w:rPr>
              <w:t>1.</w:t>
            </w:r>
            <w:r w:rsidRPr="00BD1B97">
              <w:rPr>
                <w:rFonts w:ascii="Arial" w:hAnsi="Arial" w:cs="Arial"/>
                <w:sz w:val="20"/>
                <w:szCs w:val="20"/>
                <w:lang/>
              </w:rPr>
              <w:tab/>
              <w:t>DSBD work in a clear and disciplined relationship on Red Tape Reduction/Ease of doing Business between the DSBD and the KwaZulu-Natal Provincial Departments.</w:t>
            </w:r>
          </w:p>
          <w:p w:rsidR="008D3967" w:rsidRPr="00BD1B97" w:rsidRDefault="008D3967" w:rsidP="00BD1B97">
            <w:pPr>
              <w:spacing w:after="0" w:line="240" w:lineRule="auto"/>
              <w:ind w:left="463" w:hanging="463"/>
              <w:jc w:val="both"/>
              <w:rPr>
                <w:rFonts w:ascii="Arial" w:hAnsi="Arial" w:cs="Arial"/>
                <w:sz w:val="20"/>
                <w:szCs w:val="20"/>
                <w:lang/>
              </w:rPr>
            </w:pPr>
            <w:r w:rsidRPr="00BD1B97">
              <w:rPr>
                <w:rFonts w:ascii="Arial" w:hAnsi="Arial" w:cs="Arial"/>
                <w:sz w:val="20"/>
                <w:szCs w:val="20"/>
                <w:lang/>
              </w:rPr>
              <w:t>2.</w:t>
            </w:r>
            <w:r w:rsidRPr="00BD1B97">
              <w:rPr>
                <w:rFonts w:ascii="Arial" w:hAnsi="Arial" w:cs="Arial"/>
                <w:sz w:val="20"/>
                <w:szCs w:val="20"/>
                <w:lang/>
              </w:rPr>
              <w:tab/>
              <w:t>DSBD has developed a province specific Programmes of Action, addressing Capacity Building and other mechanisms, over a three-year cycle to provide this disciplined relations and collaborative action to reduce Red Tape and unleash the potential small businesses in this province.</w:t>
            </w:r>
          </w:p>
          <w:p w:rsidR="008D3967" w:rsidRPr="00BD1B97" w:rsidRDefault="008D3967" w:rsidP="00BD1B97">
            <w:pPr>
              <w:spacing w:after="0" w:line="240" w:lineRule="auto"/>
              <w:ind w:left="463" w:hanging="463"/>
              <w:jc w:val="both"/>
              <w:rPr>
                <w:rFonts w:ascii="Arial" w:hAnsi="Arial" w:cs="Arial"/>
                <w:sz w:val="20"/>
                <w:szCs w:val="20"/>
                <w:lang/>
              </w:rPr>
            </w:pPr>
            <w:r w:rsidRPr="00BD1B97">
              <w:rPr>
                <w:rFonts w:ascii="Arial" w:hAnsi="Arial" w:cs="Arial"/>
                <w:sz w:val="20"/>
                <w:szCs w:val="20"/>
                <w:lang/>
              </w:rPr>
              <w:t>3.</w:t>
            </w:r>
            <w:r w:rsidRPr="00BD1B97">
              <w:rPr>
                <w:rFonts w:ascii="Arial" w:hAnsi="Arial" w:cs="Arial"/>
                <w:sz w:val="20"/>
                <w:szCs w:val="20"/>
                <w:lang/>
              </w:rPr>
              <w:tab/>
              <w:t>The Programme of Action developed for the province is aligned with government’s “One Plan” district and metro model and finds expression in both the DSBD’s as well as the provincial partners’ Annual Performance Plans (APPs). This integrated planning, standardisation and alignment of indicators involves all relevant provincial and local government officials, including Provincial COGTA, in its execution.</w:t>
            </w:r>
          </w:p>
          <w:p w:rsidR="008D3967" w:rsidRPr="00BD1B97" w:rsidRDefault="008D3967" w:rsidP="00BD1B97">
            <w:pPr>
              <w:spacing w:after="0" w:line="240" w:lineRule="auto"/>
              <w:ind w:left="463" w:hanging="463"/>
              <w:jc w:val="both"/>
              <w:rPr>
                <w:rFonts w:ascii="Arial" w:hAnsi="Arial" w:cs="Arial"/>
                <w:sz w:val="20"/>
                <w:szCs w:val="20"/>
                <w:lang/>
              </w:rPr>
            </w:pPr>
            <w:r w:rsidRPr="00BD1B97">
              <w:rPr>
                <w:rFonts w:ascii="Arial" w:hAnsi="Arial" w:cs="Arial"/>
                <w:sz w:val="20"/>
                <w:szCs w:val="20"/>
                <w:lang/>
              </w:rPr>
              <w:t>4.</w:t>
            </w:r>
            <w:r w:rsidRPr="00BD1B97">
              <w:rPr>
                <w:rFonts w:ascii="Arial" w:hAnsi="Arial" w:cs="Arial"/>
                <w:sz w:val="20"/>
                <w:szCs w:val="20"/>
                <w:lang/>
              </w:rPr>
              <w:tab/>
              <w:t xml:space="preserve">This is a journey that provinces cannot take alone, EDTEA, COGTA, SALGA, OTP are integral partners to the process.  </w:t>
            </w:r>
          </w:p>
          <w:p w:rsidR="008D3967" w:rsidRPr="00BD1B97" w:rsidRDefault="008D3967" w:rsidP="00BD1B97">
            <w:pPr>
              <w:spacing w:after="0" w:line="240" w:lineRule="auto"/>
              <w:ind w:left="463" w:hanging="463"/>
              <w:jc w:val="both"/>
              <w:rPr>
                <w:rFonts w:ascii="Arial" w:hAnsi="Arial" w:cs="Arial"/>
                <w:sz w:val="20"/>
                <w:szCs w:val="20"/>
                <w:lang/>
              </w:rPr>
            </w:pPr>
            <w:r w:rsidRPr="00BD1B97">
              <w:rPr>
                <w:rFonts w:ascii="Arial" w:hAnsi="Arial" w:cs="Arial"/>
                <w:sz w:val="20"/>
                <w:szCs w:val="20"/>
                <w:lang/>
              </w:rPr>
              <w:t>5.</w:t>
            </w:r>
            <w:r w:rsidRPr="00BD1B97">
              <w:rPr>
                <w:rFonts w:ascii="Arial" w:hAnsi="Arial" w:cs="Arial"/>
                <w:sz w:val="20"/>
                <w:szCs w:val="20"/>
                <w:lang/>
              </w:rPr>
              <w:tab/>
              <w:t>A separate TOR for the relationship governing the collaboration between Provincial EDTEA, COGTA, SALGA, OTP and in some instances also Provincial Treasuries are also required internally.</w:t>
            </w:r>
          </w:p>
          <w:p w:rsidR="008D3967" w:rsidRPr="00F0081A" w:rsidRDefault="008D3967" w:rsidP="004854CD">
            <w:pPr>
              <w:spacing w:after="0" w:line="240" w:lineRule="auto"/>
              <w:jc w:val="both"/>
              <w:rPr>
                <w:rFonts w:ascii="Arial" w:hAnsi="Arial" w:cs="Arial"/>
                <w:sz w:val="20"/>
                <w:szCs w:val="20"/>
                <w:lang/>
              </w:rPr>
            </w:pPr>
          </w:p>
          <w:p w:rsidR="008D3967" w:rsidRPr="00F0081A" w:rsidRDefault="008D3967" w:rsidP="004854CD">
            <w:pPr>
              <w:spacing w:after="0" w:line="240" w:lineRule="auto"/>
              <w:jc w:val="both"/>
              <w:rPr>
                <w:rFonts w:ascii="Arial" w:hAnsi="Arial" w:cs="Arial"/>
                <w:sz w:val="20"/>
                <w:szCs w:val="20"/>
                <w:lang/>
              </w:rPr>
            </w:pPr>
            <w:r w:rsidRPr="00F0081A">
              <w:rPr>
                <w:rFonts w:ascii="Arial" w:hAnsi="Arial" w:cs="Arial"/>
                <w:sz w:val="20"/>
                <w:szCs w:val="20"/>
                <w:lang/>
              </w:rPr>
              <w:t>Geographical reach:  Limpopo Province.</w:t>
            </w:r>
          </w:p>
        </w:tc>
      </w:tr>
      <w:tr w:rsidR="008D3967" w:rsidRPr="00F0081A" w:rsidTr="008D3967">
        <w:tc>
          <w:tcPr>
            <w:tcW w:w="561" w:type="dxa"/>
          </w:tcPr>
          <w:p w:rsidR="008D3967" w:rsidRPr="00F0081A" w:rsidRDefault="00D2202B" w:rsidP="004854CD">
            <w:pPr>
              <w:spacing w:after="0" w:line="240" w:lineRule="auto"/>
              <w:jc w:val="both"/>
              <w:rPr>
                <w:rFonts w:ascii="Arial" w:hAnsi="Arial" w:cs="Arial"/>
                <w:sz w:val="20"/>
                <w:szCs w:val="20"/>
                <w:lang/>
              </w:rPr>
            </w:pPr>
            <w:r>
              <w:rPr>
                <w:rFonts w:ascii="Arial" w:hAnsi="Arial" w:cs="Arial"/>
                <w:sz w:val="20"/>
                <w:szCs w:val="20"/>
                <w:lang/>
              </w:rPr>
              <w:t>3</w:t>
            </w:r>
            <w:r w:rsidR="008D3967" w:rsidRPr="00F0081A">
              <w:rPr>
                <w:rFonts w:ascii="Arial" w:hAnsi="Arial" w:cs="Arial"/>
                <w:sz w:val="20"/>
                <w:szCs w:val="20"/>
                <w:lang/>
              </w:rPr>
              <w:t>.</w:t>
            </w:r>
          </w:p>
        </w:tc>
        <w:tc>
          <w:tcPr>
            <w:tcW w:w="2695" w:type="dxa"/>
          </w:tcPr>
          <w:p w:rsidR="008D3967" w:rsidRPr="00F0081A" w:rsidRDefault="008D3967" w:rsidP="004854CD">
            <w:pPr>
              <w:spacing w:after="0" w:line="240" w:lineRule="auto"/>
              <w:jc w:val="both"/>
              <w:rPr>
                <w:rFonts w:ascii="Arial" w:hAnsi="Arial" w:cs="Arial"/>
                <w:sz w:val="20"/>
                <w:szCs w:val="20"/>
                <w:lang/>
              </w:rPr>
            </w:pPr>
            <w:r w:rsidRPr="00F0081A">
              <w:rPr>
                <w:rFonts w:ascii="Arial" w:hAnsi="Arial" w:cs="Arial"/>
                <w:sz w:val="20"/>
                <w:szCs w:val="20"/>
                <w:lang/>
              </w:rPr>
              <w:t>Northern Cape Department of Economic Development and Tourism (NCDEDT)</w:t>
            </w:r>
          </w:p>
        </w:tc>
        <w:tc>
          <w:tcPr>
            <w:tcW w:w="11056" w:type="dxa"/>
          </w:tcPr>
          <w:p w:rsidR="008D3967" w:rsidRPr="00F0081A" w:rsidRDefault="008D3967" w:rsidP="004854CD">
            <w:pPr>
              <w:spacing w:after="0" w:line="240" w:lineRule="auto"/>
              <w:jc w:val="both"/>
              <w:rPr>
                <w:rFonts w:ascii="Arial" w:hAnsi="Arial" w:cs="Arial"/>
                <w:sz w:val="20"/>
                <w:szCs w:val="20"/>
                <w:lang/>
              </w:rPr>
            </w:pPr>
            <w:r w:rsidRPr="00F0081A">
              <w:rPr>
                <w:rFonts w:ascii="Arial" w:hAnsi="Arial" w:cs="Arial"/>
                <w:sz w:val="20"/>
                <w:szCs w:val="20"/>
                <w:lang/>
              </w:rPr>
              <w:t>The Parties undertake to collaborate in the area of Red Tape Reduction with the general understanding that Red Tape is defined as rules and regulations, administrative and management procedures and systems, which are not, or are no longer, effective in achieving their intended objectives, and which therefore produce sub-optimal and undesired socio-economic outcomes hampering investment and transformation of local economies.</w:t>
            </w:r>
          </w:p>
          <w:p w:rsidR="008D3967" w:rsidRDefault="008D3967" w:rsidP="004854CD">
            <w:pPr>
              <w:spacing w:after="0" w:line="240" w:lineRule="auto"/>
              <w:jc w:val="both"/>
              <w:rPr>
                <w:rFonts w:ascii="Arial" w:hAnsi="Arial" w:cs="Arial"/>
                <w:sz w:val="20"/>
                <w:szCs w:val="20"/>
                <w:lang/>
              </w:rPr>
            </w:pPr>
          </w:p>
          <w:p w:rsidR="008D3967" w:rsidRPr="007C4F45" w:rsidRDefault="008D3967" w:rsidP="007C4F45">
            <w:pPr>
              <w:spacing w:after="0" w:line="240" w:lineRule="auto"/>
              <w:jc w:val="both"/>
              <w:rPr>
                <w:rFonts w:ascii="Arial" w:hAnsi="Arial" w:cs="Arial"/>
                <w:sz w:val="20"/>
                <w:szCs w:val="20"/>
                <w:lang/>
              </w:rPr>
            </w:pPr>
          </w:p>
          <w:p w:rsidR="008D3967" w:rsidRPr="007C4F45" w:rsidRDefault="008D3967" w:rsidP="007C4F45">
            <w:pPr>
              <w:spacing w:after="0" w:line="240" w:lineRule="auto"/>
              <w:ind w:left="463" w:hanging="463"/>
              <w:jc w:val="both"/>
              <w:rPr>
                <w:rFonts w:ascii="Arial" w:hAnsi="Arial" w:cs="Arial"/>
                <w:sz w:val="20"/>
                <w:szCs w:val="20"/>
                <w:lang/>
              </w:rPr>
            </w:pPr>
            <w:r w:rsidRPr="007C4F45">
              <w:rPr>
                <w:rFonts w:ascii="Arial" w:hAnsi="Arial" w:cs="Arial"/>
                <w:sz w:val="20"/>
                <w:szCs w:val="20"/>
                <w:lang/>
              </w:rPr>
              <w:t>1.</w:t>
            </w:r>
            <w:r w:rsidRPr="007C4F45">
              <w:rPr>
                <w:rFonts w:ascii="Arial" w:hAnsi="Arial" w:cs="Arial"/>
                <w:sz w:val="20"/>
                <w:szCs w:val="20"/>
                <w:lang/>
              </w:rPr>
              <w:tab/>
              <w:t>DSBD work in a clear and disciplined relationship on Red Tape Reduction/Ease of doing Business between the DSBD and the KwaZulu-Natal Provincial Departments.</w:t>
            </w:r>
          </w:p>
          <w:p w:rsidR="008D3967" w:rsidRPr="007C4F45" w:rsidRDefault="008D3967" w:rsidP="007C4F45">
            <w:pPr>
              <w:spacing w:after="0" w:line="240" w:lineRule="auto"/>
              <w:ind w:left="463" w:hanging="463"/>
              <w:jc w:val="both"/>
              <w:rPr>
                <w:rFonts w:ascii="Arial" w:hAnsi="Arial" w:cs="Arial"/>
                <w:sz w:val="20"/>
                <w:szCs w:val="20"/>
                <w:lang/>
              </w:rPr>
            </w:pPr>
            <w:r w:rsidRPr="007C4F45">
              <w:rPr>
                <w:rFonts w:ascii="Arial" w:hAnsi="Arial" w:cs="Arial"/>
                <w:sz w:val="20"/>
                <w:szCs w:val="20"/>
                <w:lang/>
              </w:rPr>
              <w:t>2.</w:t>
            </w:r>
            <w:r w:rsidRPr="007C4F45">
              <w:rPr>
                <w:rFonts w:ascii="Arial" w:hAnsi="Arial" w:cs="Arial"/>
                <w:sz w:val="20"/>
                <w:szCs w:val="20"/>
                <w:lang/>
              </w:rPr>
              <w:tab/>
              <w:t>DSBD has developed a province specific Programmes of Action, addressing Capacity Building and other mechanisms, over a three-year cycle to provide this disciplined relations and collaborative action to reduce Red Tape and unleash the potential small businesses in this province.</w:t>
            </w:r>
          </w:p>
          <w:p w:rsidR="008D3967" w:rsidRPr="007C4F45" w:rsidRDefault="008D3967" w:rsidP="007C4F45">
            <w:pPr>
              <w:spacing w:after="0" w:line="240" w:lineRule="auto"/>
              <w:ind w:left="463" w:hanging="463"/>
              <w:jc w:val="both"/>
              <w:rPr>
                <w:rFonts w:ascii="Arial" w:hAnsi="Arial" w:cs="Arial"/>
                <w:sz w:val="20"/>
                <w:szCs w:val="20"/>
                <w:lang/>
              </w:rPr>
            </w:pPr>
            <w:r w:rsidRPr="007C4F45">
              <w:rPr>
                <w:rFonts w:ascii="Arial" w:hAnsi="Arial" w:cs="Arial"/>
                <w:sz w:val="20"/>
                <w:szCs w:val="20"/>
                <w:lang/>
              </w:rPr>
              <w:t>3.</w:t>
            </w:r>
            <w:r w:rsidRPr="007C4F45">
              <w:rPr>
                <w:rFonts w:ascii="Arial" w:hAnsi="Arial" w:cs="Arial"/>
                <w:sz w:val="20"/>
                <w:szCs w:val="20"/>
                <w:lang/>
              </w:rPr>
              <w:tab/>
              <w:t>The Programme of Action developed for the province is aligned with government’s “One Plan” district and metro model and finds expression in both the DSBD’s as well as the provincial partners’ Annual Performance Plans (APPs). This integrated planning, standardisation and alignment of indicators involves all relevant provincial and local government officials, including Provincial COGTA, in its execution.</w:t>
            </w:r>
          </w:p>
          <w:p w:rsidR="008D3967" w:rsidRPr="007C4F45" w:rsidRDefault="008D3967" w:rsidP="007C4F45">
            <w:pPr>
              <w:spacing w:after="0" w:line="240" w:lineRule="auto"/>
              <w:ind w:left="463" w:hanging="463"/>
              <w:jc w:val="both"/>
              <w:rPr>
                <w:rFonts w:ascii="Arial" w:hAnsi="Arial" w:cs="Arial"/>
                <w:sz w:val="20"/>
                <w:szCs w:val="20"/>
                <w:lang/>
              </w:rPr>
            </w:pPr>
            <w:r w:rsidRPr="007C4F45">
              <w:rPr>
                <w:rFonts w:ascii="Arial" w:hAnsi="Arial" w:cs="Arial"/>
                <w:sz w:val="20"/>
                <w:szCs w:val="20"/>
                <w:lang/>
              </w:rPr>
              <w:t>4.</w:t>
            </w:r>
            <w:r w:rsidRPr="007C4F45">
              <w:rPr>
                <w:rFonts w:ascii="Arial" w:hAnsi="Arial" w:cs="Arial"/>
                <w:sz w:val="20"/>
                <w:szCs w:val="20"/>
                <w:lang/>
              </w:rPr>
              <w:tab/>
              <w:t xml:space="preserve">This is a journey that provinces cannot take alone, EDTEA, COGTA, SALGA, OTP are integral partners to the process.  </w:t>
            </w:r>
          </w:p>
          <w:p w:rsidR="008D3967" w:rsidRPr="007C4F45" w:rsidRDefault="008D3967" w:rsidP="007C4F45">
            <w:pPr>
              <w:spacing w:after="0" w:line="240" w:lineRule="auto"/>
              <w:ind w:left="463" w:hanging="463"/>
              <w:jc w:val="both"/>
              <w:rPr>
                <w:rFonts w:ascii="Arial" w:hAnsi="Arial" w:cs="Arial"/>
                <w:sz w:val="20"/>
                <w:szCs w:val="20"/>
                <w:lang/>
              </w:rPr>
            </w:pPr>
            <w:r w:rsidRPr="007C4F45">
              <w:rPr>
                <w:rFonts w:ascii="Arial" w:hAnsi="Arial" w:cs="Arial"/>
                <w:sz w:val="20"/>
                <w:szCs w:val="20"/>
                <w:lang/>
              </w:rPr>
              <w:t>5.</w:t>
            </w:r>
            <w:r w:rsidRPr="007C4F45">
              <w:rPr>
                <w:rFonts w:ascii="Arial" w:hAnsi="Arial" w:cs="Arial"/>
                <w:sz w:val="20"/>
                <w:szCs w:val="20"/>
                <w:lang/>
              </w:rPr>
              <w:tab/>
              <w:t>A separate TOR for the relationship governing the collaboration between Provincial EDTEA, COGTA, SALGA, OTP and in some instances also Provincial Treasuries are also required internally.</w:t>
            </w:r>
          </w:p>
          <w:p w:rsidR="008D3967" w:rsidRPr="00F0081A" w:rsidRDefault="008D3967" w:rsidP="004854CD">
            <w:pPr>
              <w:spacing w:after="0" w:line="240" w:lineRule="auto"/>
              <w:jc w:val="both"/>
              <w:rPr>
                <w:rFonts w:ascii="Arial" w:hAnsi="Arial" w:cs="Arial"/>
                <w:sz w:val="20"/>
                <w:szCs w:val="20"/>
                <w:lang/>
              </w:rPr>
            </w:pPr>
          </w:p>
          <w:p w:rsidR="008D3967" w:rsidRPr="00F0081A" w:rsidRDefault="008D3967" w:rsidP="004854CD">
            <w:pPr>
              <w:spacing w:after="0" w:line="240" w:lineRule="auto"/>
              <w:jc w:val="both"/>
              <w:rPr>
                <w:rFonts w:ascii="Arial" w:hAnsi="Arial" w:cs="Arial"/>
                <w:sz w:val="20"/>
                <w:szCs w:val="20"/>
                <w:lang/>
              </w:rPr>
            </w:pPr>
            <w:r w:rsidRPr="00494B8F">
              <w:rPr>
                <w:rFonts w:ascii="Arial" w:hAnsi="Arial" w:cs="Arial"/>
                <w:sz w:val="20"/>
                <w:szCs w:val="20"/>
                <w:lang/>
              </w:rPr>
              <w:t>Geographical reach: Northern Cape</w:t>
            </w:r>
          </w:p>
        </w:tc>
      </w:tr>
      <w:tr w:rsidR="008D3967" w:rsidRPr="00F0081A" w:rsidTr="008D3967">
        <w:tc>
          <w:tcPr>
            <w:tcW w:w="561" w:type="dxa"/>
            <w:shd w:val="clear" w:color="auto" w:fill="FFFFFF" w:themeFill="background1"/>
          </w:tcPr>
          <w:p w:rsidR="008D3967" w:rsidRPr="00F0081A" w:rsidRDefault="00D2202B" w:rsidP="00F0081A">
            <w:pPr>
              <w:spacing w:after="0" w:line="240" w:lineRule="auto"/>
              <w:jc w:val="both"/>
              <w:rPr>
                <w:rFonts w:ascii="Arial" w:hAnsi="Arial" w:cs="Arial"/>
                <w:sz w:val="20"/>
                <w:szCs w:val="20"/>
                <w:lang/>
              </w:rPr>
            </w:pPr>
            <w:r>
              <w:rPr>
                <w:rFonts w:ascii="Arial" w:hAnsi="Arial" w:cs="Arial"/>
                <w:sz w:val="20"/>
                <w:szCs w:val="20"/>
                <w:lang/>
              </w:rPr>
              <w:t>4</w:t>
            </w:r>
            <w:r w:rsidR="008D3967" w:rsidRPr="00F0081A">
              <w:rPr>
                <w:rFonts w:ascii="Arial" w:hAnsi="Arial" w:cs="Arial"/>
                <w:sz w:val="20"/>
                <w:szCs w:val="20"/>
                <w:lang/>
              </w:rPr>
              <w:t>.</w:t>
            </w:r>
          </w:p>
        </w:tc>
        <w:tc>
          <w:tcPr>
            <w:tcW w:w="2695"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Eastern Cape Rural Development Agency (ECRDA)</w:t>
            </w:r>
          </w:p>
        </w:tc>
        <w:tc>
          <w:tcPr>
            <w:tcW w:w="11056"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 xml:space="preserve">Areas of collaboration  </w:t>
            </w:r>
          </w:p>
          <w:p w:rsidR="008D3967" w:rsidRPr="00F0081A" w:rsidRDefault="008D3967" w:rsidP="00F0081A">
            <w:pPr>
              <w:pStyle w:val="ListParagraph"/>
              <w:numPr>
                <w:ilvl w:val="0"/>
                <w:numId w:val="10"/>
              </w:numPr>
              <w:spacing w:after="0" w:line="240" w:lineRule="auto"/>
              <w:ind w:hanging="720"/>
              <w:jc w:val="both"/>
              <w:rPr>
                <w:rFonts w:ascii="Arial" w:hAnsi="Arial" w:cs="Arial"/>
                <w:sz w:val="20"/>
                <w:szCs w:val="20"/>
                <w:lang/>
              </w:rPr>
            </w:pPr>
            <w:r w:rsidRPr="00F0081A">
              <w:rPr>
                <w:rFonts w:ascii="Arial" w:hAnsi="Arial" w:cs="Arial"/>
                <w:sz w:val="20"/>
                <w:szCs w:val="20"/>
                <w:lang/>
              </w:rPr>
              <w:t>Assistance with market access, especially the integration of SMMEs and co-operatives to private sector value chains</w:t>
            </w:r>
          </w:p>
          <w:p w:rsidR="008D3967" w:rsidRPr="00F0081A" w:rsidRDefault="008D3967" w:rsidP="00F0081A">
            <w:pPr>
              <w:pStyle w:val="ListParagraph"/>
              <w:numPr>
                <w:ilvl w:val="0"/>
                <w:numId w:val="10"/>
              </w:numPr>
              <w:spacing w:after="0" w:line="240" w:lineRule="auto"/>
              <w:ind w:hanging="720"/>
              <w:jc w:val="both"/>
              <w:rPr>
                <w:rFonts w:ascii="Arial" w:hAnsi="Arial" w:cs="Arial"/>
                <w:sz w:val="20"/>
                <w:szCs w:val="20"/>
                <w:lang/>
              </w:rPr>
            </w:pPr>
            <w:r w:rsidRPr="00F0081A">
              <w:rPr>
                <w:rFonts w:ascii="Arial" w:hAnsi="Arial" w:cs="Arial"/>
                <w:sz w:val="20"/>
                <w:szCs w:val="20"/>
                <w:lang/>
              </w:rPr>
              <w:t>Access with bulk buying in order to build the capacity of informal businesses to become competitive</w:t>
            </w:r>
          </w:p>
          <w:p w:rsidR="008D3967" w:rsidRPr="00F0081A" w:rsidRDefault="008D3967" w:rsidP="00F0081A">
            <w:pPr>
              <w:pStyle w:val="ListParagraph"/>
              <w:numPr>
                <w:ilvl w:val="0"/>
                <w:numId w:val="10"/>
              </w:numPr>
              <w:spacing w:after="0" w:line="240" w:lineRule="auto"/>
              <w:ind w:hanging="720"/>
              <w:jc w:val="both"/>
              <w:rPr>
                <w:rFonts w:ascii="Arial" w:hAnsi="Arial" w:cs="Arial"/>
                <w:sz w:val="20"/>
                <w:szCs w:val="20"/>
                <w:lang/>
              </w:rPr>
            </w:pPr>
            <w:r w:rsidRPr="00F0081A">
              <w:rPr>
                <w:rFonts w:ascii="Arial" w:hAnsi="Arial" w:cs="Arial"/>
                <w:sz w:val="20"/>
                <w:szCs w:val="20"/>
                <w:lang/>
              </w:rPr>
              <w:t xml:space="preserve">Provision of Business Development Services to SMMEs and co-operatives </w:t>
            </w:r>
          </w:p>
          <w:p w:rsidR="008D3967" w:rsidRPr="00F0081A" w:rsidRDefault="008D3967" w:rsidP="00F0081A">
            <w:pPr>
              <w:pStyle w:val="ListParagraph"/>
              <w:numPr>
                <w:ilvl w:val="0"/>
                <w:numId w:val="10"/>
              </w:numPr>
              <w:spacing w:after="0" w:line="240" w:lineRule="auto"/>
              <w:ind w:hanging="720"/>
              <w:jc w:val="both"/>
              <w:rPr>
                <w:rFonts w:ascii="Arial" w:hAnsi="Arial" w:cs="Arial"/>
                <w:sz w:val="20"/>
                <w:szCs w:val="20"/>
                <w:lang/>
              </w:rPr>
            </w:pPr>
            <w:r w:rsidRPr="00F0081A">
              <w:rPr>
                <w:rFonts w:ascii="Arial" w:hAnsi="Arial" w:cs="Arial"/>
                <w:sz w:val="20"/>
                <w:szCs w:val="20"/>
                <w:lang/>
              </w:rPr>
              <w:t xml:space="preserve">Cannabis development: the idea is to kickstart a Rapid Industrialisation of Cannabis, set up a Cannabis Incubator as well as stakeholder engagements operating in this industry. </w:t>
            </w:r>
          </w:p>
          <w:p w:rsidR="008D3967" w:rsidRPr="00F0081A" w:rsidRDefault="008D3967" w:rsidP="00F0081A">
            <w:pPr>
              <w:pStyle w:val="ListParagraph"/>
              <w:numPr>
                <w:ilvl w:val="0"/>
                <w:numId w:val="10"/>
              </w:numPr>
              <w:spacing w:after="0" w:line="240" w:lineRule="auto"/>
              <w:ind w:hanging="720"/>
              <w:jc w:val="both"/>
              <w:rPr>
                <w:rFonts w:ascii="Arial" w:hAnsi="Arial" w:cs="Arial"/>
                <w:sz w:val="20"/>
                <w:szCs w:val="20"/>
                <w:lang/>
              </w:rPr>
            </w:pPr>
            <w:r w:rsidRPr="00F0081A">
              <w:rPr>
                <w:rFonts w:ascii="Arial" w:hAnsi="Arial" w:cs="Arial"/>
                <w:sz w:val="20"/>
                <w:szCs w:val="20"/>
                <w:lang/>
              </w:rPr>
              <w:t>Magwa-Majola Development Corridor: a need to develop SMMEs and co-operatives to participate in the Magwa Majola Agricultural Corridor.</w:t>
            </w:r>
          </w:p>
          <w:p w:rsidR="008D3967" w:rsidRPr="00F0081A" w:rsidRDefault="008D3967" w:rsidP="00F0081A">
            <w:pPr>
              <w:pStyle w:val="ListParagraph"/>
              <w:numPr>
                <w:ilvl w:val="0"/>
                <w:numId w:val="10"/>
              </w:numPr>
              <w:spacing w:after="0" w:line="240" w:lineRule="auto"/>
              <w:ind w:hanging="720"/>
              <w:jc w:val="both"/>
              <w:rPr>
                <w:rFonts w:ascii="Arial" w:hAnsi="Arial" w:cs="Arial"/>
                <w:sz w:val="20"/>
                <w:szCs w:val="20"/>
                <w:lang/>
              </w:rPr>
            </w:pPr>
            <w:r w:rsidRPr="00F0081A">
              <w:rPr>
                <w:rFonts w:ascii="Arial" w:hAnsi="Arial" w:cs="Arial"/>
                <w:sz w:val="20"/>
                <w:szCs w:val="20"/>
                <w:lang/>
              </w:rPr>
              <w:t xml:space="preserve">Wild Coast Coastal Belt offers immense opportunities for the coastal communities. </w:t>
            </w:r>
          </w:p>
          <w:p w:rsidR="008D3967" w:rsidRPr="00F0081A" w:rsidRDefault="008D3967" w:rsidP="00F0081A">
            <w:pPr>
              <w:pStyle w:val="ListParagraph"/>
              <w:numPr>
                <w:ilvl w:val="0"/>
                <w:numId w:val="10"/>
              </w:numPr>
              <w:spacing w:after="0" w:line="240" w:lineRule="auto"/>
              <w:ind w:hanging="720"/>
              <w:jc w:val="both"/>
              <w:rPr>
                <w:rFonts w:ascii="Arial" w:hAnsi="Arial" w:cs="Arial"/>
                <w:sz w:val="20"/>
                <w:szCs w:val="20"/>
                <w:lang/>
              </w:rPr>
            </w:pPr>
            <w:r w:rsidRPr="00F0081A">
              <w:rPr>
                <w:rFonts w:ascii="Arial" w:hAnsi="Arial" w:cs="Arial"/>
                <w:sz w:val="20"/>
                <w:szCs w:val="20"/>
                <w:lang/>
              </w:rPr>
              <w:t xml:space="preserve">Renewable Energy: there is a role for SMMEs and co-operatives to venture into this area:  Forestry development, livestock development, agro-processing and provision of financial support in line with guidelines </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Geographic reach:  Eastern Cape province.</w:t>
            </w:r>
          </w:p>
        </w:tc>
      </w:tr>
      <w:tr w:rsidR="008D3967" w:rsidRPr="00F0081A" w:rsidTr="008D3967">
        <w:tc>
          <w:tcPr>
            <w:tcW w:w="561" w:type="dxa"/>
            <w:shd w:val="clear" w:color="auto" w:fill="FFFFFF" w:themeFill="background1"/>
          </w:tcPr>
          <w:p w:rsidR="008D3967" w:rsidRPr="00F0081A" w:rsidRDefault="00D2202B" w:rsidP="00F0081A">
            <w:pPr>
              <w:spacing w:after="0" w:line="240" w:lineRule="auto"/>
              <w:jc w:val="both"/>
              <w:rPr>
                <w:rFonts w:ascii="Arial" w:hAnsi="Arial" w:cs="Arial"/>
                <w:sz w:val="20"/>
                <w:szCs w:val="20"/>
                <w:lang/>
              </w:rPr>
            </w:pPr>
            <w:r>
              <w:rPr>
                <w:rFonts w:ascii="Arial" w:hAnsi="Arial" w:cs="Arial"/>
                <w:sz w:val="20"/>
                <w:szCs w:val="20"/>
                <w:lang/>
              </w:rPr>
              <w:t>5</w:t>
            </w:r>
            <w:r w:rsidR="008D3967" w:rsidRPr="00F0081A">
              <w:rPr>
                <w:rFonts w:ascii="Arial" w:hAnsi="Arial" w:cs="Arial"/>
                <w:sz w:val="20"/>
                <w:szCs w:val="20"/>
                <w:lang/>
              </w:rPr>
              <w:t xml:space="preserve">. </w:t>
            </w:r>
          </w:p>
        </w:tc>
        <w:tc>
          <w:tcPr>
            <w:tcW w:w="2695"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Department of Forestry, Fisheries and Environment</w:t>
            </w:r>
          </w:p>
        </w:tc>
        <w:tc>
          <w:tcPr>
            <w:tcW w:w="11056"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 xml:space="preserve">Areas of collaboration: </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Facilitate participation of SMMEs and Co-operatives within business value chains, especially those owned by women, youth and persons with disabilities within the following areas:</w:t>
            </w:r>
          </w:p>
          <w:p w:rsidR="008D3967" w:rsidRPr="00F0081A" w:rsidRDefault="008D3967" w:rsidP="00F0081A">
            <w:pPr>
              <w:spacing w:after="0" w:line="240" w:lineRule="auto"/>
              <w:ind w:left="603" w:hanging="567"/>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Biodiversity Economy - wildlife, bioprospecting / biotrade, and ecotourism sectors,</w:t>
            </w:r>
          </w:p>
          <w:p w:rsidR="008D3967" w:rsidRPr="00F0081A" w:rsidRDefault="008D3967" w:rsidP="00F0081A">
            <w:pPr>
              <w:spacing w:after="0" w:line="240" w:lineRule="auto"/>
              <w:ind w:left="603" w:hanging="567"/>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Chemicals and Waste Economy — Recycling Enterprise Support Programme (RESP); Refrigeration and air-conditioners (RAC) Programme;</w:t>
            </w:r>
          </w:p>
          <w:p w:rsidR="008D3967" w:rsidRPr="00F0081A" w:rsidRDefault="008D3967" w:rsidP="00F0081A">
            <w:pPr>
              <w:spacing w:after="0" w:line="240" w:lineRule="auto"/>
              <w:ind w:left="603" w:hanging="567"/>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Green Economy (Climate Change &amp; Air Quality);</w:t>
            </w:r>
          </w:p>
          <w:p w:rsidR="008D3967" w:rsidRPr="00F0081A" w:rsidRDefault="008D3967" w:rsidP="00F0081A">
            <w:pPr>
              <w:spacing w:after="0" w:line="240" w:lineRule="auto"/>
              <w:ind w:left="603" w:hanging="567"/>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Forestry Masterplan;</w:t>
            </w:r>
          </w:p>
          <w:p w:rsidR="008D3967" w:rsidRPr="00F0081A" w:rsidRDefault="008D3967" w:rsidP="00F0081A">
            <w:pPr>
              <w:spacing w:after="0" w:line="240" w:lineRule="auto"/>
              <w:ind w:left="603" w:hanging="567"/>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Fisheries Management (small scale fisheries and aquaculture as a sub sector of the Oceans Economy);</w:t>
            </w:r>
          </w:p>
          <w:p w:rsidR="008D3967" w:rsidRPr="00F0081A" w:rsidRDefault="008D3967" w:rsidP="00F0081A">
            <w:pPr>
              <w:spacing w:after="0" w:line="240" w:lineRule="auto"/>
              <w:ind w:left="603" w:hanging="567"/>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Invasive Alien Plant and bush encroachment Biomass Economy (Environmental Programmes); and</w:t>
            </w:r>
          </w:p>
          <w:p w:rsidR="008D3967" w:rsidRPr="00F0081A" w:rsidRDefault="008D3967" w:rsidP="00F0081A">
            <w:pPr>
              <w:spacing w:after="0" w:line="240" w:lineRule="auto"/>
              <w:ind w:left="603" w:hanging="567"/>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Environmental Protection and Infrastructure sector (Environmental Programmes).</w:t>
            </w:r>
          </w:p>
          <w:p w:rsidR="008D3967" w:rsidRPr="00F0081A" w:rsidRDefault="008D3967" w:rsidP="00F0081A">
            <w:pPr>
              <w:spacing w:after="0" w:line="240" w:lineRule="auto"/>
              <w:ind w:left="603" w:hanging="567"/>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In line with the joint work plan, the two parties agreed to provide capacity building, skills development, production support, incubation, enterprise development, mentorship and training of SMMEs and Co-operatives sharing and securing resources (financial and non-financial resources), both parties further agreed to implement programmes nationally.</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Geographical reach:  National level.</w:t>
            </w:r>
          </w:p>
        </w:tc>
      </w:tr>
      <w:tr w:rsidR="008D3967" w:rsidRPr="00F0081A" w:rsidTr="008D3967">
        <w:tc>
          <w:tcPr>
            <w:tcW w:w="561" w:type="dxa"/>
            <w:shd w:val="clear" w:color="auto" w:fill="FFFFFF" w:themeFill="background1"/>
          </w:tcPr>
          <w:p w:rsidR="008D3967" w:rsidRPr="00F0081A" w:rsidRDefault="00D2202B" w:rsidP="00F0081A">
            <w:pPr>
              <w:spacing w:after="0" w:line="240" w:lineRule="auto"/>
              <w:jc w:val="both"/>
              <w:rPr>
                <w:rFonts w:ascii="Arial" w:hAnsi="Arial" w:cs="Arial"/>
                <w:sz w:val="20"/>
                <w:szCs w:val="20"/>
                <w:lang/>
              </w:rPr>
            </w:pPr>
            <w:r>
              <w:rPr>
                <w:rFonts w:ascii="Arial" w:hAnsi="Arial" w:cs="Arial"/>
                <w:sz w:val="20"/>
                <w:szCs w:val="20"/>
                <w:lang/>
              </w:rPr>
              <w:t>6</w:t>
            </w:r>
            <w:r w:rsidR="008D3967" w:rsidRPr="00F0081A">
              <w:rPr>
                <w:rFonts w:ascii="Arial" w:hAnsi="Arial" w:cs="Arial"/>
                <w:sz w:val="20"/>
                <w:szCs w:val="20"/>
                <w:lang/>
              </w:rPr>
              <w:t>.</w:t>
            </w:r>
          </w:p>
        </w:tc>
        <w:tc>
          <w:tcPr>
            <w:tcW w:w="2695"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Department of Cooperative Governance (DCoG)</w:t>
            </w:r>
          </w:p>
        </w:tc>
        <w:tc>
          <w:tcPr>
            <w:tcW w:w="11056"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 xml:space="preserve">This MOU formalises the intentions of both parties to work together in strengthening democratic and developmental local government, as well as promoting more effective, efficient and responsive local governance in South Africa and within Southern Africa, as determined by the Parties. </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The Parties undertake to cooperate with each other in the following broad areas:</w:t>
            </w:r>
          </w:p>
          <w:p w:rsidR="008D3967" w:rsidRPr="00F0081A" w:rsidRDefault="008D3967" w:rsidP="00F0081A">
            <w:pPr>
              <w:spacing w:after="0" w:line="240" w:lineRule="auto"/>
              <w:ind w:left="744" w:hanging="744"/>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 xml:space="preserve">Implementing the Cooperatives Support Development Programme through both DSBD and its agencies and further facilitate the establishment of sustainable cooperatives within viable economic conditions. </w:t>
            </w:r>
          </w:p>
          <w:p w:rsidR="008D3967" w:rsidRPr="00F0081A" w:rsidRDefault="008D3967" w:rsidP="00F0081A">
            <w:pPr>
              <w:spacing w:after="0" w:line="240" w:lineRule="auto"/>
              <w:ind w:left="744" w:hanging="744"/>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 xml:space="preserve">Position cooperatives for radical economic transformation to facilitate active participation of cooperatives in mainstream economy; and facilitate access to funding and markets to identified cooperatives. </w:t>
            </w:r>
          </w:p>
          <w:p w:rsidR="008D3967" w:rsidRPr="00F0081A" w:rsidRDefault="008D3967" w:rsidP="00F0081A">
            <w:pPr>
              <w:spacing w:after="0" w:line="240" w:lineRule="auto"/>
              <w:ind w:left="744" w:hanging="744"/>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Adequately invest on Local Economic Development at provincial and municipal levels to facilitate inclusion of Cooperatives Development Programmes in IDP’s, LED strategies and support at those levels; Central to this approach includes interventions like Assert Based Community Development, the NDP, Land reform policies, Integrated Develop Plans of municipalities; as well as the alignment of programmes and budgets of a number of various projects and spheres of government coordinated at Local Government level; Implement capacity enhancement and development programmes targeting LED Practitioners and Portfolio Committees in order to adequately support.</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Geographic reach: MoU is pitched at National level but will be implemented both provincial and local levels piloting the arrangement in KZN.</w:t>
            </w:r>
          </w:p>
        </w:tc>
      </w:tr>
      <w:tr w:rsidR="008D3967" w:rsidRPr="00F0081A" w:rsidTr="008D3967">
        <w:tc>
          <w:tcPr>
            <w:tcW w:w="561" w:type="dxa"/>
            <w:shd w:val="clear" w:color="auto" w:fill="FFFFFF" w:themeFill="background1"/>
          </w:tcPr>
          <w:p w:rsidR="008D3967" w:rsidRPr="00F0081A" w:rsidRDefault="00D2202B" w:rsidP="00F0081A">
            <w:pPr>
              <w:spacing w:after="0" w:line="240" w:lineRule="auto"/>
              <w:jc w:val="both"/>
              <w:rPr>
                <w:rFonts w:ascii="Arial" w:hAnsi="Arial" w:cs="Arial"/>
                <w:sz w:val="20"/>
                <w:szCs w:val="20"/>
                <w:lang/>
              </w:rPr>
            </w:pPr>
            <w:r>
              <w:rPr>
                <w:rFonts w:ascii="Arial" w:hAnsi="Arial" w:cs="Arial"/>
                <w:sz w:val="20"/>
                <w:szCs w:val="20"/>
                <w:lang/>
              </w:rPr>
              <w:t>7</w:t>
            </w:r>
            <w:r w:rsidR="008D3967" w:rsidRPr="00F0081A">
              <w:rPr>
                <w:rFonts w:ascii="Arial" w:hAnsi="Arial" w:cs="Arial"/>
                <w:sz w:val="20"/>
                <w:szCs w:val="20"/>
                <w:lang/>
              </w:rPr>
              <w:t>.</w:t>
            </w:r>
          </w:p>
        </w:tc>
        <w:tc>
          <w:tcPr>
            <w:tcW w:w="2695"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Eastern Cape Province Department of Economic Development, Environmental Affairs and Tourism (DEDEAT)</w:t>
            </w:r>
          </w:p>
        </w:tc>
        <w:tc>
          <w:tcPr>
            <w:tcW w:w="11056"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 xml:space="preserve">Areas of collaboration  </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The two departments undertake to collaborate in the areas of Red Tape Reduction with regard to small business cooperative development with focus on providing support to implementation of remedial actions to reduce time and costs of existing procedures and processes making them less complex and more cost and time efficient.</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The agreement will also cover the following:</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Informal Economy interventions</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Cooperative development</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Sector specific interventions</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 xml:space="preserve">Innovation and digitization and </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w:t>
            </w:r>
            <w:r w:rsidRPr="00F0081A">
              <w:rPr>
                <w:rFonts w:ascii="Arial" w:hAnsi="Arial" w:cs="Arial"/>
                <w:sz w:val="20"/>
                <w:szCs w:val="20"/>
                <w:lang/>
              </w:rPr>
              <w:tab/>
              <w:t>Co-funding of projects</w:t>
            </w:r>
          </w:p>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Geographic reach:  The agreement will be implemented at a provincial level to support local initiatives within the jurisdiction of the Eastern Cape.</w:t>
            </w:r>
          </w:p>
        </w:tc>
      </w:tr>
      <w:tr w:rsidR="008D3967" w:rsidRPr="00F0081A" w:rsidTr="008D3967">
        <w:tc>
          <w:tcPr>
            <w:tcW w:w="561" w:type="dxa"/>
            <w:shd w:val="clear" w:color="auto" w:fill="FFFFFF" w:themeFill="background1"/>
          </w:tcPr>
          <w:p w:rsidR="008D3967" w:rsidRPr="00F0081A" w:rsidRDefault="00D2202B" w:rsidP="00F0081A">
            <w:pPr>
              <w:spacing w:after="0" w:line="240" w:lineRule="auto"/>
              <w:jc w:val="both"/>
              <w:rPr>
                <w:rFonts w:ascii="Arial" w:hAnsi="Arial" w:cs="Arial"/>
                <w:sz w:val="20"/>
                <w:szCs w:val="20"/>
                <w:lang/>
              </w:rPr>
            </w:pPr>
            <w:r>
              <w:rPr>
                <w:rFonts w:ascii="Arial" w:hAnsi="Arial" w:cs="Arial"/>
                <w:sz w:val="20"/>
                <w:szCs w:val="20"/>
                <w:lang/>
              </w:rPr>
              <w:t>8</w:t>
            </w:r>
            <w:r w:rsidR="008D3967" w:rsidRPr="00F0081A">
              <w:rPr>
                <w:rFonts w:ascii="Arial" w:hAnsi="Arial" w:cs="Arial"/>
                <w:sz w:val="20"/>
                <w:szCs w:val="20"/>
                <w:lang/>
              </w:rPr>
              <w:t>.</w:t>
            </w:r>
          </w:p>
        </w:tc>
        <w:tc>
          <w:tcPr>
            <w:tcW w:w="2695"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Department of Economic Development – Western Cape</w:t>
            </w:r>
          </w:p>
        </w:tc>
        <w:tc>
          <w:tcPr>
            <w:tcW w:w="11056" w:type="dxa"/>
            <w:shd w:val="clear" w:color="auto" w:fill="FFFFFF" w:themeFill="background1"/>
          </w:tcPr>
          <w:p w:rsidR="008D3967" w:rsidRPr="00F0081A" w:rsidRDefault="008D3967" w:rsidP="00F0081A">
            <w:pPr>
              <w:spacing w:after="0" w:line="240" w:lineRule="auto"/>
              <w:jc w:val="both"/>
              <w:rPr>
                <w:rFonts w:ascii="Arial" w:hAnsi="Arial" w:cs="Arial"/>
                <w:sz w:val="20"/>
                <w:szCs w:val="20"/>
                <w:lang/>
              </w:rPr>
            </w:pPr>
            <w:r w:rsidRPr="00F0081A">
              <w:rPr>
                <w:rFonts w:ascii="Arial" w:hAnsi="Arial" w:cs="Arial"/>
                <w:sz w:val="20"/>
                <w:szCs w:val="20"/>
                <w:lang/>
              </w:rPr>
              <w:t>The MoU integrates the work of Seda that was part of the initial arrangement with the Western Cape</w:t>
            </w:r>
          </w:p>
        </w:tc>
      </w:tr>
      <w:tr w:rsidR="008D3967" w:rsidRPr="00123BFB" w:rsidTr="008D3967">
        <w:tc>
          <w:tcPr>
            <w:tcW w:w="561" w:type="dxa"/>
            <w:shd w:val="clear" w:color="auto" w:fill="FFFFFF" w:themeFill="background1"/>
          </w:tcPr>
          <w:p w:rsidR="008D3967" w:rsidRPr="00123BFB" w:rsidRDefault="00D2202B" w:rsidP="00123BFB">
            <w:pPr>
              <w:spacing w:after="0" w:line="240" w:lineRule="auto"/>
              <w:jc w:val="both"/>
              <w:rPr>
                <w:rFonts w:ascii="Arial" w:hAnsi="Arial" w:cs="Arial"/>
                <w:sz w:val="20"/>
                <w:szCs w:val="20"/>
                <w:lang/>
              </w:rPr>
            </w:pPr>
            <w:r>
              <w:rPr>
                <w:rFonts w:ascii="Arial" w:hAnsi="Arial" w:cs="Arial"/>
                <w:sz w:val="20"/>
                <w:szCs w:val="20"/>
                <w:lang/>
              </w:rPr>
              <w:t>9</w:t>
            </w:r>
            <w:r w:rsidR="008D3967" w:rsidRPr="00123BFB">
              <w:rPr>
                <w:rFonts w:ascii="Arial" w:hAnsi="Arial" w:cs="Arial"/>
                <w:sz w:val="20"/>
                <w:szCs w:val="20"/>
                <w:lang/>
              </w:rPr>
              <w:t>.</w:t>
            </w:r>
          </w:p>
        </w:tc>
        <w:tc>
          <w:tcPr>
            <w:tcW w:w="2695" w:type="dxa"/>
            <w:shd w:val="clear" w:color="auto" w:fill="FFFFFF" w:themeFill="background1"/>
          </w:tcPr>
          <w:p w:rsidR="008D3967" w:rsidRPr="00123BFB" w:rsidRDefault="008D3967" w:rsidP="00123BFB">
            <w:pPr>
              <w:spacing w:after="0" w:line="240" w:lineRule="auto"/>
              <w:jc w:val="both"/>
              <w:rPr>
                <w:rFonts w:ascii="Arial" w:hAnsi="Arial" w:cs="Arial"/>
                <w:sz w:val="20"/>
                <w:szCs w:val="20"/>
                <w:lang/>
              </w:rPr>
            </w:pPr>
            <w:r w:rsidRPr="00123BFB">
              <w:rPr>
                <w:rFonts w:ascii="Arial" w:hAnsi="Arial" w:cs="Arial"/>
                <w:sz w:val="20"/>
                <w:szCs w:val="20"/>
                <w:lang/>
              </w:rPr>
              <w:t>Department of Agriculture, Land Reform and Rural Development</w:t>
            </w:r>
          </w:p>
        </w:tc>
        <w:tc>
          <w:tcPr>
            <w:tcW w:w="11056" w:type="dxa"/>
            <w:shd w:val="clear" w:color="auto" w:fill="FFFFFF" w:themeFill="background1"/>
          </w:tcPr>
          <w:p w:rsidR="008D3967" w:rsidRPr="00123BFB" w:rsidRDefault="008D3967" w:rsidP="00123BFB">
            <w:pPr>
              <w:spacing w:after="0" w:line="240" w:lineRule="auto"/>
              <w:jc w:val="both"/>
              <w:rPr>
                <w:rFonts w:ascii="Arial" w:hAnsi="Arial" w:cs="Arial"/>
                <w:sz w:val="20"/>
                <w:szCs w:val="20"/>
                <w:lang/>
              </w:rPr>
            </w:pPr>
            <w:r w:rsidRPr="00123BFB">
              <w:rPr>
                <w:rFonts w:ascii="Arial" w:hAnsi="Arial" w:cs="Arial"/>
                <w:sz w:val="20"/>
                <w:szCs w:val="20"/>
                <w:lang/>
              </w:rPr>
              <w:t>Effective implementation of the Ecosystem Development for Small Enterprises (EDSE) Programme</w:t>
            </w:r>
          </w:p>
        </w:tc>
      </w:tr>
    </w:tbl>
    <w:p w:rsidR="006D3D3A" w:rsidRPr="00F0081A" w:rsidRDefault="006D3D3A" w:rsidP="00F0081A">
      <w:pPr>
        <w:spacing w:after="0" w:line="240" w:lineRule="auto"/>
        <w:jc w:val="both"/>
        <w:rPr>
          <w:rFonts w:ascii="Arial" w:hAnsi="Arial" w:cs="Arial"/>
          <w:sz w:val="20"/>
          <w:szCs w:val="20"/>
          <w:lang/>
        </w:rPr>
      </w:pPr>
    </w:p>
    <w:p w:rsidR="00651E50" w:rsidRPr="00651E50" w:rsidRDefault="00651E50" w:rsidP="00651E50">
      <w:pPr>
        <w:spacing w:after="0" w:line="360" w:lineRule="auto"/>
        <w:jc w:val="both"/>
        <w:rPr>
          <w:rFonts w:ascii="Arial" w:hAnsi="Arial" w:cs="Arial"/>
          <w:lang/>
        </w:rPr>
      </w:pPr>
    </w:p>
    <w:p w:rsidR="00D010EC" w:rsidRDefault="00D010EC" w:rsidP="008D3967">
      <w:pPr>
        <w:spacing w:after="0" w:line="360" w:lineRule="auto"/>
        <w:jc w:val="both"/>
        <w:rPr>
          <w:rFonts w:ascii="Arial" w:hAnsi="Arial" w:cs="Arial"/>
        </w:rPr>
      </w:pPr>
    </w:p>
    <w:p w:rsidR="00756939" w:rsidRDefault="00756939" w:rsidP="008D3967">
      <w:pPr>
        <w:spacing w:after="0" w:line="360" w:lineRule="auto"/>
        <w:jc w:val="both"/>
        <w:rPr>
          <w:rFonts w:ascii="Arial" w:hAnsi="Arial" w:cs="Arial"/>
        </w:rPr>
      </w:pPr>
    </w:p>
    <w:p w:rsidR="00756939" w:rsidRDefault="00756939" w:rsidP="008D3967">
      <w:pPr>
        <w:spacing w:after="0" w:line="360" w:lineRule="auto"/>
        <w:jc w:val="both"/>
        <w:rPr>
          <w:rFonts w:ascii="Arial" w:hAnsi="Arial" w:cs="Arial"/>
          <w:b/>
          <w:bCs/>
        </w:rPr>
      </w:pPr>
      <w:r>
        <w:rPr>
          <w:rFonts w:ascii="Arial" w:hAnsi="Arial" w:cs="Arial"/>
          <w:b/>
          <w:bCs/>
        </w:rPr>
        <w:t>STELLA NDABENI-ABRAHAMS</w:t>
      </w:r>
    </w:p>
    <w:p w:rsidR="00756939" w:rsidRPr="00756939" w:rsidRDefault="00756939" w:rsidP="008D3967">
      <w:pPr>
        <w:spacing w:after="0" w:line="360" w:lineRule="auto"/>
        <w:jc w:val="both"/>
        <w:rPr>
          <w:rFonts w:ascii="Arial" w:hAnsi="Arial" w:cs="Arial"/>
          <w:b/>
          <w:bCs/>
        </w:rPr>
      </w:pPr>
      <w:r>
        <w:rPr>
          <w:rFonts w:ascii="Arial" w:hAnsi="Arial" w:cs="Arial"/>
          <w:b/>
          <w:bCs/>
        </w:rPr>
        <w:t>MINISTER: DEPARTMENT OF SMALL BUSINESS DEVELOPMENT</w:t>
      </w:r>
    </w:p>
    <w:sectPr w:rsidR="00756939" w:rsidRPr="00756939" w:rsidSect="00E4409B">
      <w:footerReference w:type="default" r:id="rId9"/>
      <w:pgSz w:w="15840" w:h="12240" w:orient="landscape"/>
      <w:pgMar w:top="1134" w:right="1098" w:bottom="1183" w:left="709"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69" w:rsidRDefault="001F5969" w:rsidP="004508F4">
      <w:pPr>
        <w:spacing w:after="0" w:line="240" w:lineRule="auto"/>
      </w:pPr>
      <w:r>
        <w:separator/>
      </w:r>
    </w:p>
  </w:endnote>
  <w:endnote w:type="continuationSeparator" w:id="0">
    <w:p w:rsidR="001F5969" w:rsidRDefault="001F5969"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191819">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1F5969">
          <w:rPr>
            <w:noProof/>
            <w:sz w:val="18"/>
            <w:szCs w:val="18"/>
          </w:rPr>
          <w:t>1</w:t>
        </w:r>
        <w:r w:rsidRPr="00290ECD">
          <w:rPr>
            <w:noProof/>
            <w:sz w:val="18"/>
            <w:szCs w:val="18"/>
          </w:rPr>
          <w:fldChar w:fldCharType="end"/>
        </w:r>
      </w:p>
    </w:sdtContent>
  </w:sdt>
  <w:p w:rsidR="00E41B2A" w:rsidRPr="008F1128" w:rsidRDefault="00E41B2A">
    <w:pPr>
      <w:pStyle w:val="Footer"/>
      <w:rPr>
        <w:sz w:val="18"/>
        <w:szCs w:val="18"/>
      </w:rPr>
    </w:pPr>
    <w:r w:rsidRPr="008F1128">
      <w:rPr>
        <w:sz w:val="18"/>
        <w:szCs w:val="18"/>
      </w:rPr>
      <w:t>DSBD response to NA</w:t>
    </w:r>
    <w:r w:rsidR="00A6530E" w:rsidRPr="008F1128">
      <w:rPr>
        <w:sz w:val="18"/>
        <w:szCs w:val="18"/>
      </w:rPr>
      <w:t xml:space="preserve"> W</w:t>
    </w:r>
    <w:r w:rsidR="0099459A" w:rsidRPr="008F1128">
      <w:rPr>
        <w:sz w:val="18"/>
        <w:szCs w:val="18"/>
      </w:rPr>
      <w:t>PQ</w:t>
    </w:r>
    <w:r w:rsidR="008F1128" w:rsidRPr="008F1128">
      <w:rPr>
        <w:sz w:val="18"/>
        <w:szCs w:val="18"/>
      </w:rPr>
      <w:t xml:space="preserve">4367 </w:t>
    </w:r>
    <w:r w:rsidR="00713072" w:rsidRPr="008F1128">
      <w:rPr>
        <w:sz w:val="18"/>
        <w:szCs w:val="18"/>
      </w:rPr>
      <w:t>N</w:t>
    </w:r>
    <w:r w:rsidR="008F1128" w:rsidRPr="008F1128">
      <w:rPr>
        <w:sz w:val="18"/>
        <w:szCs w:val="18"/>
      </w:rPr>
      <w:t>W5491</w:t>
    </w:r>
    <w:r w:rsidRPr="008F1128">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69" w:rsidRDefault="001F5969" w:rsidP="004508F4">
      <w:pPr>
        <w:spacing w:after="0" w:line="240" w:lineRule="auto"/>
      </w:pPr>
      <w:r>
        <w:separator/>
      </w:r>
    </w:p>
  </w:footnote>
  <w:footnote w:type="continuationSeparator" w:id="0">
    <w:p w:rsidR="001F5969" w:rsidRDefault="001F5969"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0EB4"/>
    <w:multiLevelType w:val="hybridMultilevel"/>
    <w:tmpl w:val="7D106CBC"/>
    <w:lvl w:ilvl="0" w:tplc="1C090001">
      <w:start w:val="1"/>
      <w:numFmt w:val="bullet"/>
      <w:lvlText w:val=""/>
      <w:lvlJc w:val="left"/>
      <w:pPr>
        <w:ind w:left="639" w:hanging="360"/>
      </w:pPr>
      <w:rPr>
        <w:rFonts w:ascii="Symbol" w:hAnsi="Symbol" w:hint="default"/>
      </w:rPr>
    </w:lvl>
    <w:lvl w:ilvl="1" w:tplc="1C090003" w:tentative="1">
      <w:start w:val="1"/>
      <w:numFmt w:val="bullet"/>
      <w:lvlText w:val="o"/>
      <w:lvlJc w:val="left"/>
      <w:pPr>
        <w:ind w:left="1359" w:hanging="360"/>
      </w:pPr>
      <w:rPr>
        <w:rFonts w:ascii="Courier New" w:hAnsi="Courier New" w:cs="Courier New" w:hint="default"/>
      </w:rPr>
    </w:lvl>
    <w:lvl w:ilvl="2" w:tplc="1C090005" w:tentative="1">
      <w:start w:val="1"/>
      <w:numFmt w:val="bullet"/>
      <w:lvlText w:val=""/>
      <w:lvlJc w:val="left"/>
      <w:pPr>
        <w:ind w:left="2079" w:hanging="360"/>
      </w:pPr>
      <w:rPr>
        <w:rFonts w:ascii="Wingdings" w:hAnsi="Wingdings" w:hint="default"/>
      </w:rPr>
    </w:lvl>
    <w:lvl w:ilvl="3" w:tplc="1C090001" w:tentative="1">
      <w:start w:val="1"/>
      <w:numFmt w:val="bullet"/>
      <w:lvlText w:val=""/>
      <w:lvlJc w:val="left"/>
      <w:pPr>
        <w:ind w:left="2799" w:hanging="360"/>
      </w:pPr>
      <w:rPr>
        <w:rFonts w:ascii="Symbol" w:hAnsi="Symbol" w:hint="default"/>
      </w:rPr>
    </w:lvl>
    <w:lvl w:ilvl="4" w:tplc="1C090003" w:tentative="1">
      <w:start w:val="1"/>
      <w:numFmt w:val="bullet"/>
      <w:lvlText w:val="o"/>
      <w:lvlJc w:val="left"/>
      <w:pPr>
        <w:ind w:left="3519" w:hanging="360"/>
      </w:pPr>
      <w:rPr>
        <w:rFonts w:ascii="Courier New" w:hAnsi="Courier New" w:cs="Courier New" w:hint="default"/>
      </w:rPr>
    </w:lvl>
    <w:lvl w:ilvl="5" w:tplc="1C090005" w:tentative="1">
      <w:start w:val="1"/>
      <w:numFmt w:val="bullet"/>
      <w:lvlText w:val=""/>
      <w:lvlJc w:val="left"/>
      <w:pPr>
        <w:ind w:left="4239" w:hanging="360"/>
      </w:pPr>
      <w:rPr>
        <w:rFonts w:ascii="Wingdings" w:hAnsi="Wingdings" w:hint="default"/>
      </w:rPr>
    </w:lvl>
    <w:lvl w:ilvl="6" w:tplc="1C090001" w:tentative="1">
      <w:start w:val="1"/>
      <w:numFmt w:val="bullet"/>
      <w:lvlText w:val=""/>
      <w:lvlJc w:val="left"/>
      <w:pPr>
        <w:ind w:left="4959" w:hanging="360"/>
      </w:pPr>
      <w:rPr>
        <w:rFonts w:ascii="Symbol" w:hAnsi="Symbol" w:hint="default"/>
      </w:rPr>
    </w:lvl>
    <w:lvl w:ilvl="7" w:tplc="1C090003" w:tentative="1">
      <w:start w:val="1"/>
      <w:numFmt w:val="bullet"/>
      <w:lvlText w:val="o"/>
      <w:lvlJc w:val="left"/>
      <w:pPr>
        <w:ind w:left="5679" w:hanging="360"/>
      </w:pPr>
      <w:rPr>
        <w:rFonts w:ascii="Courier New" w:hAnsi="Courier New" w:cs="Courier New" w:hint="default"/>
      </w:rPr>
    </w:lvl>
    <w:lvl w:ilvl="8" w:tplc="1C090005" w:tentative="1">
      <w:start w:val="1"/>
      <w:numFmt w:val="bullet"/>
      <w:lvlText w:val=""/>
      <w:lvlJc w:val="left"/>
      <w:pPr>
        <w:ind w:left="6399" w:hanging="360"/>
      </w:pPr>
      <w:rPr>
        <w:rFonts w:ascii="Wingdings" w:hAnsi="Wingdings" w:hint="default"/>
      </w:rPr>
    </w:lvl>
  </w:abstractNum>
  <w:abstractNum w:abstractNumId="1">
    <w:nsid w:val="1A9F7B74"/>
    <w:multiLevelType w:val="hybridMultilevel"/>
    <w:tmpl w:val="D60C3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0C5190"/>
    <w:multiLevelType w:val="hybridMultilevel"/>
    <w:tmpl w:val="9A6A3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3A545B6D"/>
    <w:multiLevelType w:val="hybridMultilevel"/>
    <w:tmpl w:val="3FC84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8D40FF9"/>
    <w:multiLevelType w:val="hybridMultilevel"/>
    <w:tmpl w:val="038438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7"/>
  </w:num>
  <w:num w:numId="6">
    <w:abstractNumId w:val="3"/>
  </w:num>
  <w:num w:numId="7">
    <w:abstractNumId w:val="11"/>
  </w:num>
  <w:num w:numId="8">
    <w:abstractNumId w:val="9"/>
  </w:num>
  <w:num w:numId="9">
    <w:abstractNumId w:val="2"/>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0159"/>
    <w:rsid w:val="00003CF0"/>
    <w:rsid w:val="00005784"/>
    <w:rsid w:val="0002493F"/>
    <w:rsid w:val="000300A8"/>
    <w:rsid w:val="0004184A"/>
    <w:rsid w:val="00041B30"/>
    <w:rsid w:val="00054F3F"/>
    <w:rsid w:val="000639C1"/>
    <w:rsid w:val="0006772E"/>
    <w:rsid w:val="00071BF6"/>
    <w:rsid w:val="000A0E43"/>
    <w:rsid w:val="000A55B9"/>
    <w:rsid w:val="000B7B4D"/>
    <w:rsid w:val="000C45EC"/>
    <w:rsid w:val="000D71D1"/>
    <w:rsid w:val="000E6AC2"/>
    <w:rsid w:val="000F2569"/>
    <w:rsid w:val="000F2DEB"/>
    <w:rsid w:val="000F5894"/>
    <w:rsid w:val="000F74D1"/>
    <w:rsid w:val="001012A8"/>
    <w:rsid w:val="00115DE8"/>
    <w:rsid w:val="00120E2D"/>
    <w:rsid w:val="00123BFB"/>
    <w:rsid w:val="001254CA"/>
    <w:rsid w:val="00130299"/>
    <w:rsid w:val="0013488F"/>
    <w:rsid w:val="001435A4"/>
    <w:rsid w:val="00146B99"/>
    <w:rsid w:val="00152D42"/>
    <w:rsid w:val="0015513D"/>
    <w:rsid w:val="00155421"/>
    <w:rsid w:val="00163405"/>
    <w:rsid w:val="00187EF1"/>
    <w:rsid w:val="001908C9"/>
    <w:rsid w:val="00190DDD"/>
    <w:rsid w:val="00191819"/>
    <w:rsid w:val="001A2A32"/>
    <w:rsid w:val="001A43F2"/>
    <w:rsid w:val="001A7E04"/>
    <w:rsid w:val="001B35A6"/>
    <w:rsid w:val="001C468E"/>
    <w:rsid w:val="001D32FE"/>
    <w:rsid w:val="001D49B3"/>
    <w:rsid w:val="001F5969"/>
    <w:rsid w:val="00222393"/>
    <w:rsid w:val="00223473"/>
    <w:rsid w:val="00223D26"/>
    <w:rsid w:val="002376A0"/>
    <w:rsid w:val="0025287E"/>
    <w:rsid w:val="002532A5"/>
    <w:rsid w:val="00271F00"/>
    <w:rsid w:val="00274B64"/>
    <w:rsid w:val="00275E84"/>
    <w:rsid w:val="00290C6C"/>
    <w:rsid w:val="00290ECD"/>
    <w:rsid w:val="002A375F"/>
    <w:rsid w:val="002A4B2C"/>
    <w:rsid w:val="002B6346"/>
    <w:rsid w:val="002C5C9D"/>
    <w:rsid w:val="002D4DA7"/>
    <w:rsid w:val="002E3764"/>
    <w:rsid w:val="002E7B55"/>
    <w:rsid w:val="002F0AFF"/>
    <w:rsid w:val="002F11BC"/>
    <w:rsid w:val="002F193B"/>
    <w:rsid w:val="002F2186"/>
    <w:rsid w:val="002F3C2E"/>
    <w:rsid w:val="002F43A6"/>
    <w:rsid w:val="002F49F7"/>
    <w:rsid w:val="003013EA"/>
    <w:rsid w:val="00303CC0"/>
    <w:rsid w:val="003167A8"/>
    <w:rsid w:val="00317FA1"/>
    <w:rsid w:val="003230E1"/>
    <w:rsid w:val="00332209"/>
    <w:rsid w:val="0033221C"/>
    <w:rsid w:val="003428B5"/>
    <w:rsid w:val="0035059E"/>
    <w:rsid w:val="003534BB"/>
    <w:rsid w:val="00364786"/>
    <w:rsid w:val="003652E8"/>
    <w:rsid w:val="003659B0"/>
    <w:rsid w:val="00367D76"/>
    <w:rsid w:val="00371A74"/>
    <w:rsid w:val="00376A46"/>
    <w:rsid w:val="00383E51"/>
    <w:rsid w:val="003922BD"/>
    <w:rsid w:val="00392B2A"/>
    <w:rsid w:val="00396F42"/>
    <w:rsid w:val="003A6521"/>
    <w:rsid w:val="003B0516"/>
    <w:rsid w:val="003B3FEF"/>
    <w:rsid w:val="003C27BE"/>
    <w:rsid w:val="003D23FF"/>
    <w:rsid w:val="003D2FE9"/>
    <w:rsid w:val="003F4C33"/>
    <w:rsid w:val="003F7C14"/>
    <w:rsid w:val="0040217B"/>
    <w:rsid w:val="0040781B"/>
    <w:rsid w:val="00420EF4"/>
    <w:rsid w:val="0042226E"/>
    <w:rsid w:val="00423CA1"/>
    <w:rsid w:val="00436E38"/>
    <w:rsid w:val="004437DF"/>
    <w:rsid w:val="004508F4"/>
    <w:rsid w:val="004552A7"/>
    <w:rsid w:val="00463C3C"/>
    <w:rsid w:val="0046419D"/>
    <w:rsid w:val="00481700"/>
    <w:rsid w:val="004854CD"/>
    <w:rsid w:val="00494B8F"/>
    <w:rsid w:val="004A0361"/>
    <w:rsid w:val="004A4ED5"/>
    <w:rsid w:val="004B058D"/>
    <w:rsid w:val="004B7C8B"/>
    <w:rsid w:val="004C4B7A"/>
    <w:rsid w:val="004D0135"/>
    <w:rsid w:val="004D300D"/>
    <w:rsid w:val="004E1DB8"/>
    <w:rsid w:val="004F045E"/>
    <w:rsid w:val="005129F0"/>
    <w:rsid w:val="005152D0"/>
    <w:rsid w:val="00516E25"/>
    <w:rsid w:val="00520FA5"/>
    <w:rsid w:val="005332B7"/>
    <w:rsid w:val="00554184"/>
    <w:rsid w:val="00556047"/>
    <w:rsid w:val="00575F66"/>
    <w:rsid w:val="005817F3"/>
    <w:rsid w:val="00583647"/>
    <w:rsid w:val="005A584A"/>
    <w:rsid w:val="005B2092"/>
    <w:rsid w:val="005C0855"/>
    <w:rsid w:val="005E009A"/>
    <w:rsid w:val="005E7F7C"/>
    <w:rsid w:val="005F4E57"/>
    <w:rsid w:val="006045C7"/>
    <w:rsid w:val="00612820"/>
    <w:rsid w:val="006252F6"/>
    <w:rsid w:val="006478A3"/>
    <w:rsid w:val="00651E50"/>
    <w:rsid w:val="00656700"/>
    <w:rsid w:val="0067055A"/>
    <w:rsid w:val="00672231"/>
    <w:rsid w:val="006771D6"/>
    <w:rsid w:val="00680594"/>
    <w:rsid w:val="00683424"/>
    <w:rsid w:val="00683C9B"/>
    <w:rsid w:val="00690CB6"/>
    <w:rsid w:val="00694D0C"/>
    <w:rsid w:val="006B3F99"/>
    <w:rsid w:val="006C09FE"/>
    <w:rsid w:val="006C59DC"/>
    <w:rsid w:val="006C7CD1"/>
    <w:rsid w:val="006D3D3A"/>
    <w:rsid w:val="006E266D"/>
    <w:rsid w:val="006E4500"/>
    <w:rsid w:val="006F24AE"/>
    <w:rsid w:val="006F5F00"/>
    <w:rsid w:val="00703DDE"/>
    <w:rsid w:val="00704A6B"/>
    <w:rsid w:val="00713072"/>
    <w:rsid w:val="007218C0"/>
    <w:rsid w:val="00732F65"/>
    <w:rsid w:val="0074150D"/>
    <w:rsid w:val="00745524"/>
    <w:rsid w:val="00751C60"/>
    <w:rsid w:val="00756939"/>
    <w:rsid w:val="00773D83"/>
    <w:rsid w:val="007835CA"/>
    <w:rsid w:val="00783DF4"/>
    <w:rsid w:val="007845BF"/>
    <w:rsid w:val="007B7D48"/>
    <w:rsid w:val="007C4F45"/>
    <w:rsid w:val="007E7C7D"/>
    <w:rsid w:val="007F5AA4"/>
    <w:rsid w:val="007F6A17"/>
    <w:rsid w:val="007F6F67"/>
    <w:rsid w:val="00807957"/>
    <w:rsid w:val="00810223"/>
    <w:rsid w:val="008120AB"/>
    <w:rsid w:val="00826215"/>
    <w:rsid w:val="00840434"/>
    <w:rsid w:val="008451D7"/>
    <w:rsid w:val="008541E1"/>
    <w:rsid w:val="00855C39"/>
    <w:rsid w:val="00856001"/>
    <w:rsid w:val="00866D09"/>
    <w:rsid w:val="0088248E"/>
    <w:rsid w:val="00884615"/>
    <w:rsid w:val="00886115"/>
    <w:rsid w:val="00890CA6"/>
    <w:rsid w:val="0089770F"/>
    <w:rsid w:val="008A1C18"/>
    <w:rsid w:val="008A54D8"/>
    <w:rsid w:val="008A5603"/>
    <w:rsid w:val="008C5152"/>
    <w:rsid w:val="008C7319"/>
    <w:rsid w:val="008C754E"/>
    <w:rsid w:val="008D224C"/>
    <w:rsid w:val="008D3967"/>
    <w:rsid w:val="008D53F3"/>
    <w:rsid w:val="008E6E93"/>
    <w:rsid w:val="008F102D"/>
    <w:rsid w:val="008F1128"/>
    <w:rsid w:val="008F338B"/>
    <w:rsid w:val="008F4493"/>
    <w:rsid w:val="008F4C97"/>
    <w:rsid w:val="008F5751"/>
    <w:rsid w:val="008F76E3"/>
    <w:rsid w:val="00901E95"/>
    <w:rsid w:val="00903F1D"/>
    <w:rsid w:val="0090598E"/>
    <w:rsid w:val="00912A6A"/>
    <w:rsid w:val="00913F99"/>
    <w:rsid w:val="0092698E"/>
    <w:rsid w:val="009323F5"/>
    <w:rsid w:val="009347E2"/>
    <w:rsid w:val="00937D78"/>
    <w:rsid w:val="0094013A"/>
    <w:rsid w:val="00961696"/>
    <w:rsid w:val="0096507C"/>
    <w:rsid w:val="00966648"/>
    <w:rsid w:val="0097219B"/>
    <w:rsid w:val="00985381"/>
    <w:rsid w:val="009853C1"/>
    <w:rsid w:val="0098783D"/>
    <w:rsid w:val="0099459A"/>
    <w:rsid w:val="0099546F"/>
    <w:rsid w:val="00996AF4"/>
    <w:rsid w:val="009A1525"/>
    <w:rsid w:val="009A5097"/>
    <w:rsid w:val="009B6CC9"/>
    <w:rsid w:val="009C3AB1"/>
    <w:rsid w:val="009C5327"/>
    <w:rsid w:val="009D403F"/>
    <w:rsid w:val="009E4A76"/>
    <w:rsid w:val="009F22E5"/>
    <w:rsid w:val="009F54D9"/>
    <w:rsid w:val="00A04670"/>
    <w:rsid w:val="00A141E6"/>
    <w:rsid w:val="00A222F9"/>
    <w:rsid w:val="00A27365"/>
    <w:rsid w:val="00A31600"/>
    <w:rsid w:val="00A32501"/>
    <w:rsid w:val="00A35C31"/>
    <w:rsid w:val="00A41EB4"/>
    <w:rsid w:val="00A47111"/>
    <w:rsid w:val="00A6530E"/>
    <w:rsid w:val="00A66920"/>
    <w:rsid w:val="00A66D92"/>
    <w:rsid w:val="00A8140C"/>
    <w:rsid w:val="00A83649"/>
    <w:rsid w:val="00A836B8"/>
    <w:rsid w:val="00A93B7D"/>
    <w:rsid w:val="00A960E4"/>
    <w:rsid w:val="00AA0C1F"/>
    <w:rsid w:val="00AA14C6"/>
    <w:rsid w:val="00AB2915"/>
    <w:rsid w:val="00AB2DC5"/>
    <w:rsid w:val="00AB7043"/>
    <w:rsid w:val="00AC14B9"/>
    <w:rsid w:val="00AC2554"/>
    <w:rsid w:val="00AC2EA8"/>
    <w:rsid w:val="00AC3D35"/>
    <w:rsid w:val="00AC4F50"/>
    <w:rsid w:val="00AC78AF"/>
    <w:rsid w:val="00AF775E"/>
    <w:rsid w:val="00B01C57"/>
    <w:rsid w:val="00B10FF4"/>
    <w:rsid w:val="00B15A83"/>
    <w:rsid w:val="00B275E8"/>
    <w:rsid w:val="00B27D10"/>
    <w:rsid w:val="00B3679F"/>
    <w:rsid w:val="00B52762"/>
    <w:rsid w:val="00B553AF"/>
    <w:rsid w:val="00B622FF"/>
    <w:rsid w:val="00B64737"/>
    <w:rsid w:val="00B77813"/>
    <w:rsid w:val="00B87A23"/>
    <w:rsid w:val="00B94470"/>
    <w:rsid w:val="00B971E0"/>
    <w:rsid w:val="00BC409F"/>
    <w:rsid w:val="00BC4DCE"/>
    <w:rsid w:val="00BC7E2D"/>
    <w:rsid w:val="00BD1B97"/>
    <w:rsid w:val="00BD1E56"/>
    <w:rsid w:val="00BD58D6"/>
    <w:rsid w:val="00BD7368"/>
    <w:rsid w:val="00BE01E3"/>
    <w:rsid w:val="00BE0E5A"/>
    <w:rsid w:val="00BF2516"/>
    <w:rsid w:val="00BF30CB"/>
    <w:rsid w:val="00BF3C61"/>
    <w:rsid w:val="00BF5E21"/>
    <w:rsid w:val="00BF6408"/>
    <w:rsid w:val="00C029B6"/>
    <w:rsid w:val="00C07961"/>
    <w:rsid w:val="00C30063"/>
    <w:rsid w:val="00C410F3"/>
    <w:rsid w:val="00C464ED"/>
    <w:rsid w:val="00C615AD"/>
    <w:rsid w:val="00C675D8"/>
    <w:rsid w:val="00C72623"/>
    <w:rsid w:val="00C76402"/>
    <w:rsid w:val="00C800DA"/>
    <w:rsid w:val="00C83088"/>
    <w:rsid w:val="00C84F9D"/>
    <w:rsid w:val="00C85474"/>
    <w:rsid w:val="00C87E9C"/>
    <w:rsid w:val="00C97BF5"/>
    <w:rsid w:val="00CA534A"/>
    <w:rsid w:val="00CB05DD"/>
    <w:rsid w:val="00CD0222"/>
    <w:rsid w:val="00CD20EE"/>
    <w:rsid w:val="00CE2C1C"/>
    <w:rsid w:val="00CE3E5B"/>
    <w:rsid w:val="00D010EC"/>
    <w:rsid w:val="00D15CF1"/>
    <w:rsid w:val="00D2202B"/>
    <w:rsid w:val="00D22D2A"/>
    <w:rsid w:val="00D2530E"/>
    <w:rsid w:val="00D343B9"/>
    <w:rsid w:val="00D34652"/>
    <w:rsid w:val="00D355A8"/>
    <w:rsid w:val="00D4136C"/>
    <w:rsid w:val="00D439E9"/>
    <w:rsid w:val="00D50B8F"/>
    <w:rsid w:val="00D60E0D"/>
    <w:rsid w:val="00D9105A"/>
    <w:rsid w:val="00D92409"/>
    <w:rsid w:val="00D9690A"/>
    <w:rsid w:val="00DA206F"/>
    <w:rsid w:val="00DA2D99"/>
    <w:rsid w:val="00DB04E5"/>
    <w:rsid w:val="00DC7D4B"/>
    <w:rsid w:val="00DE6A5B"/>
    <w:rsid w:val="00E1117C"/>
    <w:rsid w:val="00E14C49"/>
    <w:rsid w:val="00E235BD"/>
    <w:rsid w:val="00E41B2A"/>
    <w:rsid w:val="00E43061"/>
    <w:rsid w:val="00E4409B"/>
    <w:rsid w:val="00E604CB"/>
    <w:rsid w:val="00E60764"/>
    <w:rsid w:val="00E6143F"/>
    <w:rsid w:val="00E62FCC"/>
    <w:rsid w:val="00E6371F"/>
    <w:rsid w:val="00E66009"/>
    <w:rsid w:val="00E86125"/>
    <w:rsid w:val="00E86B36"/>
    <w:rsid w:val="00EA1438"/>
    <w:rsid w:val="00EA14E0"/>
    <w:rsid w:val="00EB07EA"/>
    <w:rsid w:val="00EB6CB7"/>
    <w:rsid w:val="00EC03C9"/>
    <w:rsid w:val="00ED0A70"/>
    <w:rsid w:val="00ED2C7E"/>
    <w:rsid w:val="00ED3297"/>
    <w:rsid w:val="00EE068C"/>
    <w:rsid w:val="00EF5787"/>
    <w:rsid w:val="00EF6592"/>
    <w:rsid w:val="00F0081A"/>
    <w:rsid w:val="00F11ECF"/>
    <w:rsid w:val="00F144E0"/>
    <w:rsid w:val="00F202E7"/>
    <w:rsid w:val="00F311D8"/>
    <w:rsid w:val="00F50320"/>
    <w:rsid w:val="00F53F61"/>
    <w:rsid w:val="00F67102"/>
    <w:rsid w:val="00F77E97"/>
    <w:rsid w:val="00F81D58"/>
    <w:rsid w:val="00F911F3"/>
    <w:rsid w:val="00FB23B1"/>
    <w:rsid w:val="00FB35B1"/>
    <w:rsid w:val="00FB4EA6"/>
    <w:rsid w:val="00FB7A08"/>
    <w:rsid w:val="00FE1FD2"/>
    <w:rsid w:val="00FE270B"/>
    <w:rsid w:val="00FF36B2"/>
    <w:rsid w:val="00FF446F"/>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table" w:styleId="TableGrid">
    <w:name w:val="Table Grid"/>
    <w:basedOn w:val="TableNormal"/>
    <w:uiPriority w:val="59"/>
    <w:rsid w:val="00D15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573007130">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B515E-33B9-4050-B7E3-E8F3BBEA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2022-12-07T10:14:00Z</dcterms:created>
  <dcterms:modified xsi:type="dcterms:W3CDTF">2022-12-07T10:14:00Z</dcterms:modified>
</cp:coreProperties>
</file>