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DC" w:rsidRPr="006709DD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709DD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5630DC" w:rsidRPr="006709DD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630DC" w:rsidRPr="006709DD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709DD">
        <w:rPr>
          <w:rFonts w:ascii="Arial" w:hAnsi="Arial" w:cs="Arial"/>
          <w:b/>
          <w:sz w:val="24"/>
          <w:szCs w:val="24"/>
        </w:rPr>
        <w:t>NATIONAL ASSEMBLY</w:t>
      </w:r>
    </w:p>
    <w:p w:rsidR="005630DC" w:rsidRPr="006709DD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630DC" w:rsidRPr="006709DD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709DD">
        <w:rPr>
          <w:rFonts w:ascii="Arial" w:hAnsi="Arial" w:cs="Arial"/>
          <w:b/>
          <w:sz w:val="24"/>
          <w:szCs w:val="24"/>
        </w:rPr>
        <w:t>WRITTEN REPLY</w:t>
      </w:r>
    </w:p>
    <w:p w:rsidR="005630DC" w:rsidRPr="006709DD" w:rsidRDefault="005630DC" w:rsidP="00AB47A6">
      <w:pPr>
        <w:spacing w:line="240" w:lineRule="auto"/>
        <w:ind w:right="284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4C2243" w:rsidRDefault="005630DC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09DD">
        <w:rPr>
          <w:rFonts w:ascii="Arial" w:hAnsi="Arial" w:cs="Arial"/>
          <w:b/>
          <w:sz w:val="24"/>
          <w:szCs w:val="24"/>
        </w:rPr>
        <w:t xml:space="preserve">QUESTION NO: </w:t>
      </w:r>
      <w:r w:rsidR="00AA6C5D">
        <w:rPr>
          <w:rFonts w:ascii="Arial" w:hAnsi="Arial" w:cs="Arial"/>
          <w:b/>
          <w:sz w:val="24"/>
          <w:szCs w:val="24"/>
        </w:rPr>
        <w:t>4</w:t>
      </w:r>
      <w:r w:rsidR="008A6791">
        <w:rPr>
          <w:rFonts w:ascii="Arial" w:hAnsi="Arial" w:cs="Arial"/>
          <w:b/>
          <w:sz w:val="24"/>
          <w:szCs w:val="24"/>
        </w:rPr>
        <w:t>36</w:t>
      </w:r>
    </w:p>
    <w:p w:rsidR="004C2243" w:rsidRPr="006709DD" w:rsidRDefault="004C2243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630DC" w:rsidRDefault="005630DC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09DD">
        <w:rPr>
          <w:rFonts w:ascii="Arial" w:hAnsi="Arial" w:cs="Arial"/>
          <w:b/>
          <w:sz w:val="24"/>
          <w:szCs w:val="24"/>
        </w:rPr>
        <w:t xml:space="preserve">DATE OF PUBLICATION: </w:t>
      </w:r>
      <w:r w:rsidR="00DE7E31">
        <w:rPr>
          <w:rFonts w:ascii="Arial" w:hAnsi="Arial" w:cs="Arial"/>
          <w:b/>
          <w:sz w:val="24"/>
          <w:szCs w:val="24"/>
        </w:rPr>
        <w:t>26 July 2019</w:t>
      </w:r>
      <w:r w:rsidRPr="006709DD">
        <w:rPr>
          <w:rFonts w:ascii="Arial" w:hAnsi="Arial" w:cs="Arial"/>
          <w:b/>
          <w:sz w:val="24"/>
          <w:szCs w:val="24"/>
        </w:rPr>
        <w:t xml:space="preserve"> </w:t>
      </w:r>
    </w:p>
    <w:p w:rsidR="008F5471" w:rsidRPr="006709DD" w:rsidRDefault="008F5471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630DC" w:rsidRDefault="00DE7E31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PAPER NO.</w:t>
      </w:r>
      <w:r w:rsidR="005630DC" w:rsidRPr="006709DD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07</w:t>
      </w:r>
    </w:p>
    <w:p w:rsidR="00AA6C5D" w:rsidRPr="006709DD" w:rsidRDefault="00AA6C5D" w:rsidP="00AB47A6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80378" w:rsidRPr="00F961DA" w:rsidRDefault="00B80378" w:rsidP="000E077A">
      <w:pPr>
        <w:spacing w:before="100" w:beforeAutospacing="1" w:after="100" w:afterAutospacing="1"/>
        <w:ind w:left="709" w:hanging="709"/>
        <w:rPr>
          <w:rFonts w:ascii="Arial" w:eastAsiaTheme="minorHAnsi" w:hAnsi="Arial" w:cs="Arial"/>
          <w:b/>
          <w:bCs/>
          <w:sz w:val="24"/>
          <w:szCs w:val="24"/>
        </w:rPr>
      </w:pPr>
      <w:r w:rsidRPr="00F961DA">
        <w:rPr>
          <w:rFonts w:ascii="Arial" w:hAnsi="Arial" w:cs="Arial"/>
          <w:b/>
          <w:bCs/>
          <w:sz w:val="24"/>
          <w:szCs w:val="24"/>
        </w:rPr>
        <w:t>Mr</w:t>
      </w:r>
      <w:r w:rsidR="008A6791" w:rsidRPr="00F961DA">
        <w:rPr>
          <w:rFonts w:ascii="Arial" w:hAnsi="Arial" w:cs="Arial"/>
          <w:b/>
          <w:bCs/>
          <w:sz w:val="24"/>
          <w:szCs w:val="24"/>
        </w:rPr>
        <w:t>s van Dyk (DA) to ask the Minister of Communications:</w:t>
      </w:r>
    </w:p>
    <w:p w:rsidR="008A6791" w:rsidRPr="00F961DA" w:rsidRDefault="008A6791" w:rsidP="00F961DA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sz w:val="24"/>
          <w:szCs w:val="24"/>
        </w:rPr>
      </w:pPr>
      <w:r w:rsidRPr="00F961DA">
        <w:rPr>
          <w:rFonts w:ascii="Arial" w:hAnsi="Arial" w:cs="Arial"/>
          <w:sz w:val="24"/>
          <w:szCs w:val="24"/>
        </w:rPr>
        <w:t>1)       What are the details of the (a) name of each consultant and/or contractor, (b) amount allocated to each consultant and/or contractor, (c) project each consultant and/or contractor will work on and (d) expected duration of each project her department budgeted for in the 2019-20 financial year;</w:t>
      </w:r>
    </w:p>
    <w:p w:rsidR="008A6791" w:rsidRPr="00F961DA" w:rsidRDefault="008A6791" w:rsidP="00F961DA">
      <w:pPr>
        <w:spacing w:before="100" w:beforeAutospacing="1" w:after="100" w:afterAutospacing="1"/>
        <w:ind w:left="720" w:hanging="720"/>
        <w:jc w:val="both"/>
        <w:rPr>
          <w:rFonts w:ascii="Arial" w:eastAsiaTheme="minorHAnsi" w:hAnsi="Arial" w:cs="Arial"/>
          <w:sz w:val="24"/>
          <w:szCs w:val="24"/>
          <w:lang w:val="en-ZA"/>
        </w:rPr>
      </w:pPr>
      <w:r w:rsidRPr="00F961DA">
        <w:rPr>
          <w:rFonts w:ascii="Arial" w:hAnsi="Arial" w:cs="Arial"/>
          <w:sz w:val="24"/>
          <w:szCs w:val="24"/>
        </w:rPr>
        <w:t xml:space="preserve">(2)       </w:t>
      </w:r>
      <w:r w:rsidR="00F961DA">
        <w:rPr>
          <w:rFonts w:ascii="Arial" w:hAnsi="Arial" w:cs="Arial"/>
          <w:sz w:val="24"/>
          <w:szCs w:val="24"/>
        </w:rPr>
        <w:t>W</w:t>
      </w:r>
      <w:r w:rsidRPr="00F961DA">
        <w:rPr>
          <w:rFonts w:ascii="Arial" w:hAnsi="Arial" w:cs="Arial"/>
          <w:sz w:val="24"/>
          <w:szCs w:val="24"/>
        </w:rPr>
        <w:t>hether each project was or will be put out to tender; if not, in each case, why not; if so, what are the relevant details in each case;</w:t>
      </w:r>
    </w:p>
    <w:p w:rsidR="008A6791" w:rsidRPr="00F961DA" w:rsidRDefault="008A6791" w:rsidP="00F961DA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sz w:val="24"/>
          <w:szCs w:val="24"/>
        </w:rPr>
      </w:pPr>
      <w:r w:rsidRPr="00F961DA">
        <w:rPr>
          <w:rFonts w:ascii="Arial" w:hAnsi="Arial" w:cs="Arial"/>
          <w:sz w:val="24"/>
          <w:szCs w:val="24"/>
        </w:rPr>
        <w:t>(3)      </w:t>
      </w:r>
      <w:r w:rsidR="00F961DA">
        <w:rPr>
          <w:rFonts w:ascii="Arial" w:hAnsi="Arial" w:cs="Arial"/>
          <w:sz w:val="24"/>
          <w:szCs w:val="24"/>
        </w:rPr>
        <w:t>W</w:t>
      </w:r>
      <w:r w:rsidRPr="00F961DA">
        <w:rPr>
          <w:rFonts w:ascii="Arial" w:hAnsi="Arial" w:cs="Arial"/>
          <w:sz w:val="24"/>
          <w:szCs w:val="24"/>
        </w:rPr>
        <w:t>hether the relocation of her department’s offices will result in cost savings; if not, (a) why not and (b) why is her department relocating its offices; if so, what are the relevant details;</w:t>
      </w:r>
    </w:p>
    <w:p w:rsidR="005816FE" w:rsidRPr="00F961DA" w:rsidRDefault="008A6791" w:rsidP="00F961DA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sz w:val="24"/>
          <w:szCs w:val="24"/>
        </w:rPr>
      </w:pPr>
      <w:r w:rsidRPr="00F961DA">
        <w:rPr>
          <w:rFonts w:ascii="Arial" w:hAnsi="Arial" w:cs="Arial"/>
          <w:sz w:val="24"/>
          <w:szCs w:val="24"/>
        </w:rPr>
        <w:t>(4)      </w:t>
      </w:r>
      <w:r w:rsidR="00F961DA">
        <w:rPr>
          <w:rFonts w:ascii="Arial" w:hAnsi="Arial" w:cs="Arial"/>
          <w:sz w:val="24"/>
          <w:szCs w:val="24"/>
        </w:rPr>
        <w:t>W</w:t>
      </w:r>
      <w:r w:rsidRPr="00F961DA">
        <w:rPr>
          <w:rFonts w:ascii="Arial" w:hAnsi="Arial" w:cs="Arial"/>
          <w:sz w:val="24"/>
          <w:szCs w:val="24"/>
        </w:rPr>
        <w:t>hat amount did her department spend on offices in each of the past five financial years?    </w:t>
      </w:r>
    </w:p>
    <w:p w:rsidR="00F961DA" w:rsidRPr="00F961DA" w:rsidRDefault="00F961DA" w:rsidP="00F961DA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NW</w:t>
      </w:r>
      <w:r w:rsidR="005816FE" w:rsidRPr="00F961DA">
        <w:rPr>
          <w:rFonts w:ascii="Arial" w:hAnsi="Arial" w:cs="Arial"/>
          <w:sz w:val="24"/>
          <w:szCs w:val="24"/>
        </w:rPr>
        <w:t>1410E</w:t>
      </w:r>
    </w:p>
    <w:p w:rsidR="00AB47A6" w:rsidRDefault="005630DC" w:rsidP="00A855F9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0925">
        <w:rPr>
          <w:rFonts w:ascii="Arial" w:hAnsi="Arial" w:cs="Arial"/>
          <w:b/>
          <w:sz w:val="24"/>
          <w:szCs w:val="24"/>
          <w:u w:val="single"/>
        </w:rPr>
        <w:t>REPLY:</w:t>
      </w:r>
    </w:p>
    <w:p w:rsidR="00452B98" w:rsidRDefault="00452B98" w:rsidP="00A855F9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52B98" w:rsidRDefault="00452B98" w:rsidP="00A855F9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have been advised by the Departments as follows:</w:t>
      </w:r>
    </w:p>
    <w:p w:rsidR="00452B98" w:rsidRDefault="00452B98" w:rsidP="00A855F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52B98">
        <w:rPr>
          <w:rFonts w:ascii="Arial" w:hAnsi="Arial" w:cs="Arial"/>
          <w:sz w:val="24"/>
          <w:szCs w:val="24"/>
        </w:rPr>
        <w:t>In respect of the Department of Telecommunications and Postal Services:</w:t>
      </w:r>
    </w:p>
    <w:p w:rsidR="00085245" w:rsidRPr="00EE2BA6" w:rsidRDefault="00EE2BA6" w:rsidP="00F961DA">
      <w:pPr>
        <w:pStyle w:val="ListParagraph"/>
        <w:numPr>
          <w:ilvl w:val="0"/>
          <w:numId w:val="26"/>
        </w:numPr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E2BA6" w:rsidRDefault="00196129" w:rsidP="00EE2BA6">
      <w:pPr>
        <w:pStyle w:val="ListParagraph"/>
        <w:jc w:val="both"/>
        <w:rPr>
          <w:rFonts w:ascii="Arial" w:hAnsi="Arial" w:cs="Arial"/>
          <w:sz w:val="24"/>
          <w:szCs w:val="24"/>
          <w:lang w:val="en-GB"/>
        </w:rPr>
      </w:pPr>
      <w:r w:rsidRPr="00196129">
        <w:rPr>
          <w:noProof/>
          <w:lang w:val="en-GB" w:eastAsia="en-GB"/>
        </w:rPr>
        <w:drawing>
          <wp:inline distT="0" distB="0" distL="0" distR="0">
            <wp:extent cx="5731510" cy="204065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4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A6" w:rsidRDefault="00EE2BA6" w:rsidP="00EE2BA6">
      <w:pPr>
        <w:pStyle w:val="ListParagraph"/>
        <w:jc w:val="both"/>
        <w:rPr>
          <w:rFonts w:ascii="Arial" w:hAnsi="Arial" w:cs="Arial"/>
          <w:sz w:val="24"/>
          <w:szCs w:val="24"/>
          <w:lang w:val="en-GB"/>
        </w:rPr>
      </w:pPr>
    </w:p>
    <w:p w:rsidR="00B9419D" w:rsidRDefault="00B9419D" w:rsidP="00EE2BA6">
      <w:pPr>
        <w:pStyle w:val="ListParagraph"/>
        <w:jc w:val="both"/>
        <w:rPr>
          <w:rFonts w:ascii="Arial" w:hAnsi="Arial" w:cs="Arial"/>
          <w:sz w:val="24"/>
          <w:szCs w:val="24"/>
          <w:lang w:val="en-GB"/>
        </w:rPr>
      </w:pPr>
    </w:p>
    <w:p w:rsidR="00B9419D" w:rsidRDefault="00B9419D" w:rsidP="00EE2BA6">
      <w:pPr>
        <w:pStyle w:val="ListParagraph"/>
        <w:jc w:val="both"/>
        <w:rPr>
          <w:rFonts w:ascii="Arial" w:hAnsi="Arial" w:cs="Arial"/>
          <w:sz w:val="24"/>
          <w:szCs w:val="24"/>
          <w:lang w:val="en-GB"/>
        </w:rPr>
      </w:pPr>
    </w:p>
    <w:p w:rsidR="00257DC7" w:rsidRDefault="00B251CB" w:rsidP="00F961DA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  <w:lang w:val="en-GB"/>
        </w:rPr>
      </w:pPr>
      <w:r w:rsidRPr="00A643F7">
        <w:rPr>
          <w:rFonts w:ascii="Arial" w:hAnsi="Arial" w:cs="Arial"/>
          <w:sz w:val="24"/>
          <w:szCs w:val="24"/>
          <w:lang w:val="en-GB"/>
        </w:rPr>
        <w:t>2</w:t>
      </w:r>
      <w:r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257DC7">
        <w:rPr>
          <w:rFonts w:ascii="Arial" w:hAnsi="Arial" w:cs="Arial"/>
          <w:b/>
          <w:sz w:val="24"/>
          <w:szCs w:val="24"/>
          <w:lang w:val="en-GB"/>
        </w:rPr>
        <w:tab/>
      </w:r>
      <w:r w:rsidR="00D8138B" w:rsidRPr="00EE2BA6">
        <w:rPr>
          <w:rFonts w:ascii="Arial" w:hAnsi="Arial" w:cs="Arial"/>
          <w:sz w:val="24"/>
          <w:szCs w:val="24"/>
          <w:lang w:val="en-GB"/>
        </w:rPr>
        <w:t>All p</w:t>
      </w:r>
      <w:r w:rsidR="00257DC7" w:rsidRPr="00EE2BA6">
        <w:rPr>
          <w:rFonts w:ascii="Arial" w:hAnsi="Arial" w:cs="Arial"/>
          <w:sz w:val="24"/>
          <w:szCs w:val="24"/>
          <w:lang w:val="en-GB"/>
        </w:rPr>
        <w:t>rojects not yet contracted</w:t>
      </w:r>
      <w:r w:rsidR="00D8138B" w:rsidRPr="00EE2BA6">
        <w:rPr>
          <w:rFonts w:ascii="Arial" w:hAnsi="Arial" w:cs="Arial"/>
          <w:sz w:val="24"/>
          <w:szCs w:val="24"/>
          <w:lang w:val="en-GB"/>
        </w:rPr>
        <w:t xml:space="preserve"> mentioned above will be put out on tender</w:t>
      </w:r>
      <w:r w:rsidR="007B3ABD">
        <w:rPr>
          <w:rFonts w:ascii="Arial" w:hAnsi="Arial" w:cs="Arial"/>
          <w:sz w:val="24"/>
          <w:szCs w:val="24"/>
          <w:lang w:val="en-GB"/>
        </w:rPr>
        <w:t>.</w:t>
      </w:r>
    </w:p>
    <w:p w:rsidR="007B3ABD" w:rsidRPr="00210406" w:rsidRDefault="007B3ABD" w:rsidP="00F961DA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Pr="00210406">
        <w:rPr>
          <w:rFonts w:ascii="Arial" w:hAnsi="Arial" w:cs="Arial"/>
          <w:sz w:val="24"/>
          <w:szCs w:val="24"/>
          <w:lang w:val="en-GB"/>
        </w:rPr>
        <w:t>The contracts awarded to Broadband Infraco and SITA were not put out on tender because the department mandate</w:t>
      </w:r>
      <w:r w:rsidR="00BA3BC6" w:rsidRPr="00210406">
        <w:rPr>
          <w:rFonts w:ascii="Arial" w:hAnsi="Arial" w:cs="Arial"/>
          <w:sz w:val="24"/>
          <w:szCs w:val="24"/>
          <w:lang w:val="en-GB"/>
        </w:rPr>
        <w:t>d</w:t>
      </w:r>
      <w:r w:rsidRPr="00210406">
        <w:rPr>
          <w:rFonts w:ascii="Arial" w:hAnsi="Arial" w:cs="Arial"/>
          <w:sz w:val="24"/>
          <w:szCs w:val="24"/>
          <w:lang w:val="en-GB"/>
        </w:rPr>
        <w:t xml:space="preserve"> </w:t>
      </w:r>
      <w:r w:rsidR="003406B3" w:rsidRPr="00210406">
        <w:rPr>
          <w:rFonts w:ascii="Arial" w:hAnsi="Arial" w:cs="Arial"/>
          <w:sz w:val="24"/>
          <w:szCs w:val="24"/>
          <w:lang w:val="en-GB"/>
        </w:rPr>
        <w:t>its</w:t>
      </w:r>
      <w:r w:rsidRPr="00210406">
        <w:rPr>
          <w:rFonts w:ascii="Arial" w:hAnsi="Arial" w:cs="Arial"/>
          <w:sz w:val="24"/>
          <w:szCs w:val="24"/>
          <w:lang w:val="en-GB"/>
        </w:rPr>
        <w:t xml:space="preserve"> State Owned Companies to implement the projects on its behalf. </w:t>
      </w:r>
      <w:r w:rsidR="001E1F24">
        <w:rPr>
          <w:rFonts w:ascii="Arial" w:hAnsi="Arial" w:cs="Arial"/>
          <w:sz w:val="24"/>
          <w:szCs w:val="24"/>
          <w:lang w:val="en-GB"/>
        </w:rPr>
        <w:t xml:space="preserve">The BBI and SITA contracts will run for 10 </w:t>
      </w:r>
      <w:bookmarkStart w:id="0" w:name="_GoBack"/>
      <w:bookmarkEnd w:id="0"/>
      <w:r w:rsidR="00C9735F">
        <w:rPr>
          <w:rFonts w:ascii="Arial" w:hAnsi="Arial" w:cs="Arial"/>
          <w:sz w:val="24"/>
          <w:szCs w:val="24"/>
          <w:lang w:val="en-GB"/>
        </w:rPr>
        <w:t>years</w:t>
      </w:r>
      <w:r w:rsidR="001E1F24">
        <w:rPr>
          <w:rFonts w:ascii="Arial" w:hAnsi="Arial" w:cs="Arial"/>
          <w:sz w:val="24"/>
          <w:szCs w:val="24"/>
          <w:lang w:val="en-GB"/>
        </w:rPr>
        <w:t>, from 2018/19 to 2028/29.</w:t>
      </w:r>
    </w:p>
    <w:p w:rsidR="00257DC7" w:rsidRDefault="00257DC7" w:rsidP="00257DC7">
      <w:pPr>
        <w:pStyle w:val="ListParagraph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251CB" w:rsidRDefault="00257DC7" w:rsidP="00455F6D">
      <w:pPr>
        <w:pStyle w:val="ListParagraph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</w:r>
    </w:p>
    <w:p w:rsidR="00D8138B" w:rsidRPr="00D8138B" w:rsidRDefault="00D8138B" w:rsidP="00F961DA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  <w:lang w:val="en-ZA"/>
        </w:rPr>
      </w:pPr>
      <w:r w:rsidRPr="00D8138B">
        <w:rPr>
          <w:rFonts w:ascii="Arial" w:hAnsi="Arial" w:cs="Arial"/>
          <w:sz w:val="24"/>
          <w:szCs w:val="24"/>
          <w:lang w:val="en-ZA"/>
        </w:rPr>
        <w:t>3</w:t>
      </w:r>
      <w:r w:rsidR="00F961DA">
        <w:rPr>
          <w:rFonts w:ascii="Arial" w:hAnsi="Arial" w:cs="Arial"/>
          <w:sz w:val="24"/>
          <w:szCs w:val="24"/>
          <w:lang w:val="en-ZA"/>
        </w:rPr>
        <w:t>.</w:t>
      </w:r>
      <w:r w:rsidRPr="00D8138B">
        <w:rPr>
          <w:rFonts w:ascii="Arial" w:hAnsi="Arial" w:cs="Arial"/>
          <w:sz w:val="24"/>
          <w:szCs w:val="24"/>
          <w:lang w:val="en-ZA"/>
        </w:rPr>
        <w:t xml:space="preserve">  </w:t>
      </w:r>
      <w:r w:rsidR="00F961DA">
        <w:rPr>
          <w:rFonts w:ascii="Arial" w:hAnsi="Arial" w:cs="Arial"/>
          <w:sz w:val="24"/>
          <w:szCs w:val="24"/>
          <w:lang w:val="en-ZA"/>
        </w:rPr>
        <w:tab/>
      </w:r>
      <w:r w:rsidRPr="00D8138B">
        <w:rPr>
          <w:rFonts w:ascii="Arial" w:hAnsi="Arial" w:cs="Arial"/>
          <w:sz w:val="24"/>
          <w:szCs w:val="24"/>
          <w:lang w:val="en-ZA"/>
        </w:rPr>
        <w:t xml:space="preserve">No cost savings will be realised. </w:t>
      </w:r>
    </w:p>
    <w:p w:rsidR="00D8138B" w:rsidRPr="00D8138B" w:rsidRDefault="00D8138B" w:rsidP="00F961DA">
      <w:pPr>
        <w:pStyle w:val="ListParagraph"/>
        <w:ind w:hanging="153"/>
        <w:jc w:val="both"/>
        <w:rPr>
          <w:rFonts w:ascii="Arial" w:hAnsi="Arial" w:cs="Arial"/>
          <w:sz w:val="24"/>
          <w:szCs w:val="24"/>
          <w:lang w:val="en-ZA"/>
        </w:rPr>
      </w:pPr>
      <w:r w:rsidRPr="00D8138B">
        <w:rPr>
          <w:rFonts w:ascii="Arial" w:hAnsi="Arial" w:cs="Arial"/>
          <w:sz w:val="24"/>
          <w:szCs w:val="24"/>
          <w:lang w:val="en-ZA"/>
        </w:rPr>
        <w:t>(a) The Department is not relocating offices.</w:t>
      </w:r>
    </w:p>
    <w:p w:rsidR="00D8138B" w:rsidRPr="00D8138B" w:rsidRDefault="00D8138B" w:rsidP="00F961DA">
      <w:pPr>
        <w:pStyle w:val="ListParagraph"/>
        <w:ind w:hanging="153"/>
        <w:jc w:val="both"/>
        <w:rPr>
          <w:rFonts w:ascii="Arial" w:hAnsi="Arial" w:cs="Arial"/>
          <w:sz w:val="24"/>
          <w:szCs w:val="24"/>
          <w:lang w:val="en-ZA"/>
        </w:rPr>
      </w:pPr>
      <w:r w:rsidRPr="00D8138B">
        <w:rPr>
          <w:rFonts w:ascii="Arial" w:hAnsi="Arial" w:cs="Arial"/>
          <w:sz w:val="24"/>
          <w:szCs w:val="24"/>
          <w:lang w:val="en-ZA"/>
        </w:rPr>
        <w:t>(b) The Department is not relocating offices.</w:t>
      </w:r>
    </w:p>
    <w:p w:rsidR="00D8138B" w:rsidRPr="00D8138B" w:rsidRDefault="00D8138B" w:rsidP="00D8138B">
      <w:pPr>
        <w:pStyle w:val="ListParagraph"/>
        <w:ind w:firstLine="720"/>
        <w:jc w:val="both"/>
        <w:rPr>
          <w:rFonts w:ascii="Arial" w:hAnsi="Arial" w:cs="Arial"/>
          <w:sz w:val="24"/>
          <w:szCs w:val="24"/>
          <w:lang w:val="en-ZA"/>
        </w:rPr>
      </w:pPr>
    </w:p>
    <w:p w:rsidR="00D8138B" w:rsidRPr="00D8138B" w:rsidRDefault="00D8138B" w:rsidP="00D8138B">
      <w:pPr>
        <w:pStyle w:val="ListParagraph"/>
        <w:jc w:val="both"/>
        <w:rPr>
          <w:rFonts w:ascii="Arial" w:hAnsi="Arial" w:cs="Arial"/>
          <w:sz w:val="24"/>
          <w:szCs w:val="24"/>
          <w:lang w:val="en-ZA"/>
        </w:rPr>
      </w:pPr>
    </w:p>
    <w:p w:rsidR="00D8138B" w:rsidRPr="00D8138B" w:rsidRDefault="00D8138B" w:rsidP="00F961DA">
      <w:pPr>
        <w:ind w:left="567" w:hanging="567"/>
        <w:jc w:val="both"/>
        <w:rPr>
          <w:rFonts w:ascii="Arial" w:hAnsi="Arial" w:cs="Arial"/>
          <w:sz w:val="24"/>
          <w:szCs w:val="24"/>
          <w:lang w:val="en-ZA"/>
        </w:rPr>
      </w:pPr>
      <w:r w:rsidRPr="00D8138B">
        <w:rPr>
          <w:rFonts w:ascii="Arial" w:hAnsi="Arial" w:cs="Arial"/>
          <w:sz w:val="24"/>
          <w:szCs w:val="24"/>
          <w:lang w:val="en-ZA"/>
        </w:rPr>
        <w:t>4</w:t>
      </w:r>
      <w:r w:rsidR="00F961DA">
        <w:rPr>
          <w:rFonts w:ascii="Arial" w:hAnsi="Arial" w:cs="Arial"/>
          <w:sz w:val="24"/>
          <w:szCs w:val="24"/>
          <w:lang w:val="en-ZA"/>
        </w:rPr>
        <w:t>.</w:t>
      </w:r>
      <w:r w:rsidRPr="00D8138B">
        <w:rPr>
          <w:rFonts w:ascii="Arial" w:hAnsi="Arial" w:cs="Arial"/>
          <w:sz w:val="24"/>
          <w:szCs w:val="24"/>
          <w:lang w:val="en-ZA"/>
        </w:rPr>
        <w:t xml:space="preserve">  </w:t>
      </w:r>
      <w:r w:rsidR="00F961DA">
        <w:rPr>
          <w:rFonts w:ascii="Arial" w:hAnsi="Arial" w:cs="Arial"/>
          <w:sz w:val="24"/>
          <w:szCs w:val="24"/>
          <w:lang w:val="en-ZA"/>
        </w:rPr>
        <w:tab/>
      </w:r>
      <w:r w:rsidRPr="00D8138B">
        <w:rPr>
          <w:rFonts w:ascii="Arial" w:hAnsi="Arial" w:cs="Arial"/>
          <w:sz w:val="24"/>
          <w:szCs w:val="24"/>
          <w:lang w:val="en-ZA"/>
        </w:rPr>
        <w:t>An amount of R90 million was paid with respect of the lease / rental of office accommodation as from April 2014 until March 2019.</w:t>
      </w:r>
    </w:p>
    <w:p w:rsidR="00D8138B" w:rsidRPr="00D8138B" w:rsidRDefault="00D8138B" w:rsidP="00D8138B">
      <w:pPr>
        <w:pStyle w:val="ListParagraph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D8138B" w:rsidRDefault="00D8138B" w:rsidP="00455F6D">
      <w:pPr>
        <w:pStyle w:val="ListParagraph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3F7767" w:rsidRPr="00452B98" w:rsidRDefault="003F7767" w:rsidP="003F776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52B98">
        <w:rPr>
          <w:rFonts w:ascii="Arial" w:hAnsi="Arial" w:cs="Arial"/>
          <w:sz w:val="24"/>
          <w:szCs w:val="24"/>
        </w:rPr>
        <w:t>In re</w:t>
      </w:r>
      <w:r>
        <w:rPr>
          <w:rFonts w:ascii="Arial" w:hAnsi="Arial" w:cs="Arial"/>
          <w:sz w:val="24"/>
          <w:szCs w:val="24"/>
        </w:rPr>
        <w:t>spect of the Department of C</w:t>
      </w:r>
      <w:r w:rsidRPr="00452B98">
        <w:rPr>
          <w:rFonts w:ascii="Arial" w:hAnsi="Arial" w:cs="Arial"/>
          <w:sz w:val="24"/>
          <w:szCs w:val="24"/>
        </w:rPr>
        <w:t>ommunications</w:t>
      </w:r>
      <w:r>
        <w:rPr>
          <w:rFonts w:ascii="Arial" w:hAnsi="Arial" w:cs="Arial"/>
          <w:sz w:val="24"/>
          <w:szCs w:val="24"/>
        </w:rPr>
        <w:t>:</w:t>
      </w:r>
    </w:p>
    <w:p w:rsidR="00B96B4A" w:rsidRPr="003F7767" w:rsidRDefault="00B96B4A" w:rsidP="003F7767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3F7767" w:rsidRDefault="003F7767" w:rsidP="003F7767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it-IT"/>
        </w:rPr>
      </w:pPr>
    </w:p>
    <w:p w:rsidR="003F7767" w:rsidRPr="003F7767" w:rsidRDefault="003F7767" w:rsidP="003F7767">
      <w:pPr>
        <w:jc w:val="both"/>
        <w:rPr>
          <w:rFonts w:ascii="Arial" w:hAnsi="Arial" w:cs="Arial"/>
          <w:sz w:val="24"/>
          <w:szCs w:val="24"/>
        </w:rPr>
      </w:pPr>
      <w:r w:rsidRPr="003F776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3F7767">
        <w:rPr>
          <w:rFonts w:ascii="Arial" w:hAnsi="Arial" w:cs="Arial"/>
          <w:sz w:val="24"/>
          <w:szCs w:val="24"/>
        </w:rPr>
        <w:t xml:space="preserve"> </w:t>
      </w:r>
    </w:p>
    <w:p w:rsidR="003F7767" w:rsidRDefault="003F7767" w:rsidP="003F7767">
      <w:pPr>
        <w:pStyle w:val="ListParagraph"/>
        <w:jc w:val="both"/>
        <w:rPr>
          <w:noProof/>
          <w:lang w:eastAsia="en-ZA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710"/>
        <w:gridCol w:w="2551"/>
        <w:gridCol w:w="1843"/>
        <w:gridCol w:w="3118"/>
        <w:gridCol w:w="1418"/>
      </w:tblGrid>
      <w:tr w:rsidR="003F7767" w:rsidRPr="00815AE0" w:rsidTr="00130DED">
        <w:tc>
          <w:tcPr>
            <w:tcW w:w="710" w:type="dxa"/>
          </w:tcPr>
          <w:p w:rsidR="003F7767" w:rsidRPr="00815AE0" w:rsidRDefault="003F7767" w:rsidP="00130DE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15AE0">
              <w:rPr>
                <w:rFonts w:ascii="Arial" w:hAnsi="Arial" w:cs="Arial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2551" w:type="dxa"/>
          </w:tcPr>
          <w:p w:rsidR="003F7767" w:rsidRDefault="003F7767" w:rsidP="00130DE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CONSULTANT</w:t>
            </w:r>
          </w:p>
          <w:p w:rsidR="003F7767" w:rsidRPr="00815AE0" w:rsidRDefault="003F7767" w:rsidP="00130DE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(a)</w:t>
            </w:r>
          </w:p>
        </w:tc>
        <w:tc>
          <w:tcPr>
            <w:tcW w:w="1843" w:type="dxa"/>
          </w:tcPr>
          <w:p w:rsidR="003F7767" w:rsidRDefault="003F7767" w:rsidP="00130DE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AMOUNT ALLOCATED</w:t>
            </w:r>
          </w:p>
          <w:p w:rsidR="003F7767" w:rsidRPr="00815AE0" w:rsidRDefault="003F7767" w:rsidP="00130DE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(b)</w:t>
            </w:r>
          </w:p>
        </w:tc>
        <w:tc>
          <w:tcPr>
            <w:tcW w:w="3118" w:type="dxa"/>
          </w:tcPr>
          <w:p w:rsidR="003F7767" w:rsidRDefault="003F7767" w:rsidP="00130DE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PROJECT WILL WORK ON</w:t>
            </w:r>
          </w:p>
          <w:p w:rsidR="003F7767" w:rsidRPr="00815AE0" w:rsidRDefault="003F7767" w:rsidP="00130DE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(c)</w:t>
            </w:r>
          </w:p>
        </w:tc>
        <w:tc>
          <w:tcPr>
            <w:tcW w:w="1418" w:type="dxa"/>
          </w:tcPr>
          <w:p w:rsidR="003F7767" w:rsidRDefault="003F7767" w:rsidP="00130DE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EXPECTED DURATION</w:t>
            </w:r>
          </w:p>
          <w:p w:rsidR="003F7767" w:rsidRPr="00815AE0" w:rsidRDefault="003F7767" w:rsidP="00130DE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(d)</w:t>
            </w:r>
          </w:p>
        </w:tc>
      </w:tr>
      <w:tr w:rsidR="003F7767" w:rsidRPr="00815AE0" w:rsidTr="00130DED">
        <w:tc>
          <w:tcPr>
            <w:tcW w:w="710" w:type="dxa"/>
          </w:tcPr>
          <w:p w:rsidR="003F7767" w:rsidRPr="00815AE0" w:rsidRDefault="003F7767" w:rsidP="00130DE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2551" w:type="dxa"/>
          </w:tcPr>
          <w:p w:rsidR="003F7767" w:rsidRPr="00815AE0" w:rsidRDefault="003F7767" w:rsidP="00130DE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N/A – Consultant not yet appointed</w:t>
            </w:r>
          </w:p>
        </w:tc>
        <w:tc>
          <w:tcPr>
            <w:tcW w:w="1843" w:type="dxa"/>
          </w:tcPr>
          <w:p w:rsidR="003F7767" w:rsidRPr="00815AE0" w:rsidRDefault="003F7767" w:rsidP="00130DE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 400 000.00</w:t>
            </w:r>
          </w:p>
        </w:tc>
        <w:tc>
          <w:tcPr>
            <w:tcW w:w="3118" w:type="dxa"/>
          </w:tcPr>
          <w:p w:rsidR="003F7767" w:rsidRPr="00815AE0" w:rsidRDefault="003F7767" w:rsidP="00130DE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854FA5">
              <w:rPr>
                <w:rFonts w:ascii="Arial" w:hAnsi="Arial" w:cs="Arial"/>
                <w:sz w:val="20"/>
                <w:szCs w:val="20"/>
                <w:lang w:val="en-GB"/>
              </w:rPr>
              <w:t>onduct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Pr="00854FA5">
              <w:rPr>
                <w:rFonts w:ascii="Arial" w:hAnsi="Arial" w:cs="Arial"/>
                <w:sz w:val="20"/>
                <w:szCs w:val="20"/>
                <w:lang w:val="en-GB"/>
              </w:rPr>
              <w:t xml:space="preserve"> cost benefit analysis of the draft South African Audio Visual Content Growth Strategy.</w:t>
            </w:r>
          </w:p>
        </w:tc>
        <w:tc>
          <w:tcPr>
            <w:tcW w:w="1418" w:type="dxa"/>
          </w:tcPr>
          <w:p w:rsidR="003F7767" w:rsidRPr="00334048" w:rsidRDefault="003F7767" w:rsidP="00130DE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4048">
              <w:rPr>
                <w:rFonts w:ascii="Arial" w:hAnsi="Arial" w:cs="Arial"/>
                <w:sz w:val="20"/>
                <w:szCs w:val="20"/>
                <w:lang w:val="en-GB"/>
              </w:rPr>
              <w:t>2 months</w:t>
            </w:r>
          </w:p>
        </w:tc>
      </w:tr>
      <w:tr w:rsidR="003F7767" w:rsidRPr="00815AE0" w:rsidTr="00130DED">
        <w:trPr>
          <w:trHeight w:val="189"/>
        </w:trPr>
        <w:tc>
          <w:tcPr>
            <w:tcW w:w="710" w:type="dxa"/>
          </w:tcPr>
          <w:p w:rsidR="003F7767" w:rsidRPr="00815AE0" w:rsidRDefault="003F7767" w:rsidP="00130DE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551" w:type="dxa"/>
          </w:tcPr>
          <w:p w:rsidR="003F7767" w:rsidRDefault="003F7767" w:rsidP="00130DED">
            <w:r w:rsidRPr="009368E3">
              <w:rPr>
                <w:rFonts w:ascii="Arial" w:hAnsi="Arial" w:cs="Arial"/>
                <w:sz w:val="20"/>
                <w:szCs w:val="20"/>
                <w:lang w:val="en-GB"/>
              </w:rPr>
              <w:t>N/A – Consultant not yet appointed</w:t>
            </w:r>
          </w:p>
        </w:tc>
        <w:tc>
          <w:tcPr>
            <w:tcW w:w="1843" w:type="dxa"/>
          </w:tcPr>
          <w:p w:rsidR="003F7767" w:rsidRPr="00815AE0" w:rsidRDefault="003F7767" w:rsidP="00130DE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 300 000.00</w:t>
            </w:r>
          </w:p>
        </w:tc>
        <w:tc>
          <w:tcPr>
            <w:tcW w:w="3118" w:type="dxa"/>
          </w:tcPr>
          <w:p w:rsidR="003F7767" w:rsidRPr="00815AE0" w:rsidRDefault="003F7767" w:rsidP="00130DE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4FA5">
              <w:rPr>
                <w:rFonts w:ascii="Arial" w:hAnsi="Arial" w:cs="Arial"/>
                <w:sz w:val="20"/>
                <w:szCs w:val="20"/>
                <w:lang w:val="en-GB"/>
              </w:rPr>
              <w:t>4IR training for emerging content producers</w:t>
            </w:r>
          </w:p>
        </w:tc>
        <w:tc>
          <w:tcPr>
            <w:tcW w:w="1418" w:type="dxa"/>
          </w:tcPr>
          <w:p w:rsidR="003F7767" w:rsidRPr="00815AE0" w:rsidRDefault="003F7767" w:rsidP="00130DE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Once Off</w:t>
            </w:r>
          </w:p>
        </w:tc>
      </w:tr>
      <w:tr w:rsidR="003F7767" w:rsidRPr="00815AE0" w:rsidTr="00130DED">
        <w:tc>
          <w:tcPr>
            <w:tcW w:w="710" w:type="dxa"/>
          </w:tcPr>
          <w:p w:rsidR="003F7767" w:rsidRPr="00815AE0" w:rsidRDefault="003F7767" w:rsidP="00130DE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2551" w:type="dxa"/>
          </w:tcPr>
          <w:p w:rsidR="003F7767" w:rsidRDefault="003F7767" w:rsidP="00130DED">
            <w:r w:rsidRPr="009368E3">
              <w:rPr>
                <w:rFonts w:ascii="Arial" w:hAnsi="Arial" w:cs="Arial"/>
                <w:sz w:val="20"/>
                <w:szCs w:val="20"/>
                <w:lang w:val="en-GB"/>
              </w:rPr>
              <w:t>N/A – Consultant not yet appointed</w:t>
            </w:r>
          </w:p>
        </w:tc>
        <w:tc>
          <w:tcPr>
            <w:tcW w:w="1843" w:type="dxa"/>
          </w:tcPr>
          <w:p w:rsidR="003F7767" w:rsidRPr="00815AE0" w:rsidRDefault="003F7767" w:rsidP="00130DE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R2 000 000.00</w:t>
            </w:r>
          </w:p>
        </w:tc>
        <w:tc>
          <w:tcPr>
            <w:tcW w:w="3118" w:type="dxa"/>
          </w:tcPr>
          <w:p w:rsidR="003F7767" w:rsidRPr="00815AE0" w:rsidRDefault="003F7767" w:rsidP="00130DE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854FA5">
              <w:rPr>
                <w:rFonts w:ascii="Arial" w:hAnsi="Arial" w:cs="Arial"/>
                <w:sz w:val="20"/>
                <w:szCs w:val="20"/>
                <w:lang w:val="en-GB"/>
              </w:rPr>
              <w:t>esearch and report on ID television set and decoders sold by retailers</w:t>
            </w:r>
          </w:p>
        </w:tc>
        <w:tc>
          <w:tcPr>
            <w:tcW w:w="1418" w:type="dxa"/>
          </w:tcPr>
          <w:p w:rsidR="003F7767" w:rsidRPr="00815AE0" w:rsidRDefault="003F7767" w:rsidP="00130DE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 months</w:t>
            </w:r>
          </w:p>
        </w:tc>
      </w:tr>
      <w:tr w:rsidR="003F7767" w:rsidRPr="00815AE0" w:rsidTr="00130DED">
        <w:trPr>
          <w:trHeight w:val="177"/>
        </w:trPr>
        <w:tc>
          <w:tcPr>
            <w:tcW w:w="710" w:type="dxa"/>
          </w:tcPr>
          <w:p w:rsidR="003F7767" w:rsidRPr="00815AE0" w:rsidRDefault="003F7767" w:rsidP="00130DE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551" w:type="dxa"/>
          </w:tcPr>
          <w:p w:rsidR="003F7767" w:rsidRDefault="003F7767" w:rsidP="00130DED">
            <w:r w:rsidRPr="009368E3">
              <w:rPr>
                <w:rFonts w:ascii="Arial" w:hAnsi="Arial" w:cs="Arial"/>
                <w:sz w:val="20"/>
                <w:szCs w:val="20"/>
                <w:lang w:val="en-GB"/>
              </w:rPr>
              <w:t>N/A – Consultant not yet appointed</w:t>
            </w:r>
          </w:p>
        </w:tc>
        <w:tc>
          <w:tcPr>
            <w:tcW w:w="1843" w:type="dxa"/>
          </w:tcPr>
          <w:p w:rsidR="003F7767" w:rsidRPr="00815AE0" w:rsidRDefault="003F7767" w:rsidP="00130DE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R2 000 000.00</w:t>
            </w:r>
          </w:p>
        </w:tc>
        <w:tc>
          <w:tcPr>
            <w:tcW w:w="3118" w:type="dxa"/>
          </w:tcPr>
          <w:p w:rsidR="003F7767" w:rsidRPr="00815AE0" w:rsidRDefault="003F7767" w:rsidP="00130DE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854FA5">
              <w:rPr>
                <w:rFonts w:ascii="Arial" w:hAnsi="Arial" w:cs="Arial"/>
                <w:sz w:val="20"/>
                <w:szCs w:val="20"/>
                <w:lang w:val="en-GB"/>
              </w:rPr>
              <w:t>mplementation evaluation of the Community Media Policy and Support Programme.</w:t>
            </w:r>
          </w:p>
        </w:tc>
        <w:tc>
          <w:tcPr>
            <w:tcW w:w="1418" w:type="dxa"/>
          </w:tcPr>
          <w:p w:rsidR="003F7767" w:rsidRPr="00815AE0" w:rsidRDefault="003F7767" w:rsidP="00130DED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 months</w:t>
            </w:r>
          </w:p>
        </w:tc>
      </w:tr>
    </w:tbl>
    <w:p w:rsidR="003F7767" w:rsidRPr="009A4F7B" w:rsidRDefault="003F7767" w:rsidP="003F7767">
      <w:pPr>
        <w:jc w:val="both"/>
        <w:rPr>
          <w:rFonts w:ascii="Arial" w:hAnsi="Arial" w:cs="Arial"/>
          <w:color w:val="FF0000"/>
          <w:sz w:val="24"/>
          <w:szCs w:val="24"/>
          <w:lang w:val="en-GB"/>
        </w:rPr>
      </w:pPr>
    </w:p>
    <w:p w:rsidR="003F7767" w:rsidRPr="00E56DEE" w:rsidRDefault="003F7767" w:rsidP="003F7767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  <w:lang w:val="en-GB"/>
        </w:rPr>
      </w:pPr>
      <w:r w:rsidRPr="00A643F7">
        <w:rPr>
          <w:rFonts w:ascii="Arial" w:hAnsi="Arial" w:cs="Arial"/>
          <w:sz w:val="24"/>
          <w:szCs w:val="24"/>
          <w:lang w:val="en-GB"/>
        </w:rPr>
        <w:t>2</w:t>
      </w:r>
      <w:r>
        <w:rPr>
          <w:rFonts w:ascii="Arial" w:hAnsi="Arial" w:cs="Arial"/>
          <w:b/>
          <w:sz w:val="24"/>
          <w:szCs w:val="24"/>
          <w:lang w:val="en-GB"/>
        </w:rPr>
        <w:t xml:space="preserve">. 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Pr="00E56DEE">
        <w:rPr>
          <w:rFonts w:ascii="Arial" w:hAnsi="Arial" w:cs="Arial"/>
          <w:sz w:val="24"/>
          <w:szCs w:val="24"/>
          <w:lang w:val="en-GB"/>
        </w:rPr>
        <w:t xml:space="preserve">Projects </w:t>
      </w:r>
      <w:r>
        <w:rPr>
          <w:rFonts w:ascii="Arial" w:hAnsi="Arial" w:cs="Arial"/>
          <w:sz w:val="24"/>
          <w:szCs w:val="24"/>
          <w:lang w:val="en-GB"/>
        </w:rPr>
        <w:t xml:space="preserve">1-2 </w:t>
      </w:r>
      <w:r w:rsidRPr="00E56DEE">
        <w:rPr>
          <w:rFonts w:ascii="Arial" w:hAnsi="Arial" w:cs="Arial"/>
          <w:sz w:val="24"/>
          <w:szCs w:val="24"/>
          <w:lang w:val="en-GB"/>
        </w:rPr>
        <w:t xml:space="preserve">will not be put on tender because </w:t>
      </w:r>
      <w:r w:rsidR="003D3FF4">
        <w:rPr>
          <w:rFonts w:ascii="Arial" w:hAnsi="Arial" w:cs="Arial"/>
          <w:sz w:val="24"/>
          <w:szCs w:val="24"/>
          <w:lang w:val="en-GB"/>
        </w:rPr>
        <w:t xml:space="preserve">the </w:t>
      </w:r>
      <w:r>
        <w:rPr>
          <w:rFonts w:ascii="Arial" w:hAnsi="Arial" w:cs="Arial"/>
          <w:sz w:val="24"/>
          <w:szCs w:val="24"/>
          <w:lang w:val="en-GB"/>
        </w:rPr>
        <w:t xml:space="preserve">amount </w:t>
      </w:r>
      <w:r w:rsidR="003D3FF4">
        <w:rPr>
          <w:rFonts w:ascii="Arial" w:hAnsi="Arial" w:cs="Arial"/>
          <w:sz w:val="24"/>
          <w:szCs w:val="24"/>
          <w:lang w:val="en-GB"/>
        </w:rPr>
        <w:t xml:space="preserve">is </w:t>
      </w:r>
      <w:r>
        <w:rPr>
          <w:rFonts w:ascii="Arial" w:hAnsi="Arial" w:cs="Arial"/>
          <w:sz w:val="24"/>
          <w:szCs w:val="24"/>
          <w:lang w:val="en-GB"/>
        </w:rPr>
        <w:t>less than tender threshold of R500 000.00. RFQ process will be followed.</w:t>
      </w:r>
    </w:p>
    <w:p w:rsidR="003F7767" w:rsidRDefault="003F7767" w:rsidP="003F7767">
      <w:pPr>
        <w:pStyle w:val="ListParagraph"/>
        <w:ind w:left="567"/>
        <w:jc w:val="both"/>
        <w:rPr>
          <w:rFonts w:ascii="Arial" w:hAnsi="Arial" w:cs="Arial"/>
          <w:sz w:val="24"/>
          <w:szCs w:val="24"/>
          <w:lang w:val="en-GB"/>
        </w:rPr>
      </w:pPr>
    </w:p>
    <w:p w:rsidR="003F7767" w:rsidRDefault="003F7767" w:rsidP="003F7767">
      <w:pPr>
        <w:pStyle w:val="ListParagraph"/>
        <w:ind w:left="567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Projects 3-</w:t>
      </w:r>
      <w:r w:rsidRPr="00E56DEE">
        <w:rPr>
          <w:rFonts w:ascii="Arial" w:hAnsi="Arial" w:cs="Arial"/>
          <w:sz w:val="24"/>
          <w:szCs w:val="24"/>
          <w:lang w:val="en-GB"/>
        </w:rPr>
        <w:t>4 will be put on tender.</w:t>
      </w:r>
      <w:r>
        <w:rPr>
          <w:rFonts w:ascii="Arial" w:hAnsi="Arial" w:cs="Arial"/>
          <w:sz w:val="24"/>
          <w:szCs w:val="24"/>
          <w:lang w:val="en-GB"/>
        </w:rPr>
        <w:t xml:space="preserve"> Tender specifications have not been finalised.</w:t>
      </w:r>
    </w:p>
    <w:p w:rsidR="003F7767" w:rsidRDefault="003F7767" w:rsidP="003F7767">
      <w:pPr>
        <w:pStyle w:val="ListParagraph"/>
        <w:ind w:left="567" w:hanging="567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</w:r>
    </w:p>
    <w:p w:rsidR="003F7767" w:rsidRDefault="003F7767" w:rsidP="003F7767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6AC9">
        <w:rPr>
          <w:rFonts w:ascii="Arial" w:hAnsi="Arial" w:cs="Arial"/>
          <w:sz w:val="24"/>
          <w:szCs w:val="24"/>
        </w:rPr>
        <w:t>(3)</w:t>
      </w:r>
      <w:r w:rsidRPr="00846A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It is not known at this stage if the </w:t>
      </w:r>
      <w:r w:rsidRPr="00846AC9">
        <w:rPr>
          <w:rFonts w:ascii="Arial" w:hAnsi="Arial" w:cs="Arial"/>
          <w:sz w:val="24"/>
          <w:szCs w:val="24"/>
        </w:rPr>
        <w:t>relocation</w:t>
      </w:r>
      <w:r>
        <w:rPr>
          <w:rFonts w:ascii="Arial" w:hAnsi="Arial" w:cs="Arial"/>
          <w:sz w:val="24"/>
          <w:szCs w:val="24"/>
        </w:rPr>
        <w:t xml:space="preserve"> will result in the cost savings or not</w:t>
      </w:r>
      <w:r w:rsidR="003D3FF4">
        <w:rPr>
          <w:rFonts w:ascii="Arial" w:hAnsi="Arial" w:cs="Arial"/>
          <w:sz w:val="24"/>
          <w:szCs w:val="24"/>
        </w:rPr>
        <w:t xml:space="preserve"> as t</w:t>
      </w:r>
      <w:r>
        <w:rPr>
          <w:rFonts w:ascii="Arial" w:hAnsi="Arial" w:cs="Arial"/>
          <w:sz w:val="24"/>
          <w:szCs w:val="24"/>
        </w:rPr>
        <w:t xml:space="preserve">he discussions on the relocation and costs thereof have not commenced as yet. </w:t>
      </w:r>
    </w:p>
    <w:p w:rsidR="003F7767" w:rsidRDefault="003F7767" w:rsidP="003F7767">
      <w:p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N/A</w:t>
      </w:r>
    </w:p>
    <w:p w:rsidR="003F7767" w:rsidRDefault="003F7767" w:rsidP="003F7767">
      <w:p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(b) The department is relocating because of the pronounced reconfiguration together with Department of Telecommunications and Postal Services </w:t>
      </w:r>
      <w:r w:rsidR="003D3FF4">
        <w:rPr>
          <w:rFonts w:ascii="Arial" w:hAnsi="Arial" w:cs="Arial"/>
          <w:sz w:val="24"/>
          <w:szCs w:val="24"/>
        </w:rPr>
        <w:t xml:space="preserve">to establish a </w:t>
      </w:r>
      <w:r>
        <w:rPr>
          <w:rFonts w:ascii="Arial" w:hAnsi="Arial" w:cs="Arial"/>
          <w:sz w:val="24"/>
          <w:szCs w:val="24"/>
        </w:rPr>
        <w:t>new department.</w:t>
      </w:r>
    </w:p>
    <w:p w:rsidR="003F7767" w:rsidRPr="00846AC9" w:rsidRDefault="003F7767" w:rsidP="003F7767">
      <w:pPr>
        <w:spacing w:before="240"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846AC9">
        <w:rPr>
          <w:rFonts w:ascii="Arial" w:hAnsi="Arial" w:cs="Arial"/>
          <w:sz w:val="24"/>
          <w:szCs w:val="24"/>
        </w:rPr>
        <w:t>(4)</w:t>
      </w:r>
      <w:r w:rsidRPr="00846AC9">
        <w:rPr>
          <w:rFonts w:ascii="Arial" w:hAnsi="Arial" w:cs="Arial"/>
          <w:sz w:val="24"/>
          <w:szCs w:val="24"/>
        </w:rPr>
        <w:tab/>
        <w:t>The accommodation cost over the past financial years are as follow:</w:t>
      </w:r>
    </w:p>
    <w:p w:rsidR="003F7767" w:rsidRPr="00846AC9" w:rsidRDefault="003F7767" w:rsidP="003F7767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846AC9">
        <w:rPr>
          <w:rFonts w:ascii="Arial" w:hAnsi="Arial" w:cs="Arial"/>
          <w:sz w:val="24"/>
          <w:szCs w:val="24"/>
        </w:rPr>
        <w:tab/>
        <w:t>2015/16</w:t>
      </w:r>
      <w:r w:rsidRPr="00846AC9">
        <w:rPr>
          <w:rFonts w:ascii="Arial" w:hAnsi="Arial" w:cs="Arial"/>
          <w:sz w:val="24"/>
          <w:szCs w:val="24"/>
        </w:rPr>
        <w:tab/>
        <w:t>-</w:t>
      </w:r>
      <w:r w:rsidRPr="00846AC9">
        <w:rPr>
          <w:rFonts w:ascii="Arial" w:hAnsi="Arial" w:cs="Arial"/>
          <w:sz w:val="24"/>
          <w:szCs w:val="24"/>
        </w:rPr>
        <w:tab/>
        <w:t>R0.00</w:t>
      </w:r>
    </w:p>
    <w:p w:rsidR="003F7767" w:rsidRPr="00846AC9" w:rsidRDefault="003F7767" w:rsidP="003F7767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846AC9">
        <w:rPr>
          <w:rFonts w:ascii="Arial" w:hAnsi="Arial" w:cs="Arial"/>
          <w:sz w:val="24"/>
          <w:szCs w:val="24"/>
        </w:rPr>
        <w:tab/>
        <w:t>2016/17</w:t>
      </w:r>
      <w:r w:rsidRPr="00846AC9">
        <w:rPr>
          <w:rFonts w:ascii="Arial" w:hAnsi="Arial" w:cs="Arial"/>
          <w:sz w:val="24"/>
          <w:szCs w:val="24"/>
        </w:rPr>
        <w:tab/>
        <w:t>-</w:t>
      </w:r>
      <w:r w:rsidRPr="00846AC9">
        <w:rPr>
          <w:rFonts w:ascii="Arial" w:hAnsi="Arial" w:cs="Arial"/>
          <w:sz w:val="24"/>
          <w:szCs w:val="24"/>
        </w:rPr>
        <w:tab/>
        <w:t>R0.00</w:t>
      </w:r>
    </w:p>
    <w:p w:rsidR="003F7767" w:rsidRPr="00846AC9" w:rsidRDefault="003F7767" w:rsidP="003F7767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846AC9">
        <w:rPr>
          <w:rFonts w:ascii="Arial" w:hAnsi="Arial" w:cs="Arial"/>
          <w:sz w:val="24"/>
          <w:szCs w:val="24"/>
        </w:rPr>
        <w:tab/>
        <w:t>2017/18</w:t>
      </w:r>
      <w:r w:rsidRPr="00846AC9">
        <w:rPr>
          <w:rFonts w:ascii="Arial" w:hAnsi="Arial" w:cs="Arial"/>
          <w:sz w:val="24"/>
          <w:szCs w:val="24"/>
        </w:rPr>
        <w:tab/>
        <w:t>-</w:t>
      </w:r>
      <w:r w:rsidRPr="00846AC9">
        <w:rPr>
          <w:rFonts w:ascii="Arial" w:hAnsi="Arial" w:cs="Arial"/>
          <w:sz w:val="24"/>
          <w:szCs w:val="24"/>
        </w:rPr>
        <w:tab/>
        <w:t>R0.00</w:t>
      </w:r>
    </w:p>
    <w:p w:rsidR="003F7767" w:rsidRPr="00846AC9" w:rsidRDefault="003F7767" w:rsidP="003F7767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846AC9">
        <w:rPr>
          <w:rFonts w:ascii="Arial" w:hAnsi="Arial" w:cs="Arial"/>
          <w:sz w:val="24"/>
          <w:szCs w:val="24"/>
        </w:rPr>
        <w:tab/>
        <w:t>2018/19</w:t>
      </w:r>
      <w:r w:rsidRPr="00846AC9">
        <w:rPr>
          <w:rFonts w:ascii="Arial" w:hAnsi="Arial" w:cs="Arial"/>
          <w:sz w:val="24"/>
          <w:szCs w:val="24"/>
        </w:rPr>
        <w:tab/>
        <w:t>-</w:t>
      </w:r>
      <w:r w:rsidRPr="00846AC9">
        <w:rPr>
          <w:rFonts w:ascii="Arial" w:hAnsi="Arial" w:cs="Arial"/>
          <w:sz w:val="24"/>
          <w:szCs w:val="24"/>
        </w:rPr>
        <w:tab/>
        <w:t>R250 271.49 per month (R3, 003 million for the year)</w:t>
      </w:r>
    </w:p>
    <w:p w:rsidR="003F7767" w:rsidRDefault="003F7767" w:rsidP="003F7767">
      <w:pPr>
        <w:spacing w:after="0" w:line="360" w:lineRule="auto"/>
        <w:ind w:left="720" w:hanging="720"/>
        <w:jc w:val="both"/>
      </w:pPr>
      <w:r w:rsidRPr="00846AC9">
        <w:rPr>
          <w:rFonts w:ascii="Arial" w:hAnsi="Arial" w:cs="Arial"/>
          <w:sz w:val="24"/>
          <w:szCs w:val="24"/>
        </w:rPr>
        <w:tab/>
        <w:t>2019/20</w:t>
      </w:r>
      <w:r w:rsidRPr="00846AC9">
        <w:rPr>
          <w:rFonts w:ascii="Arial" w:hAnsi="Arial" w:cs="Arial"/>
          <w:sz w:val="24"/>
          <w:szCs w:val="24"/>
        </w:rPr>
        <w:tab/>
        <w:t>-</w:t>
      </w:r>
      <w:r w:rsidRPr="00846AC9">
        <w:rPr>
          <w:rFonts w:ascii="Arial" w:hAnsi="Arial" w:cs="Arial"/>
          <w:sz w:val="24"/>
          <w:szCs w:val="24"/>
        </w:rPr>
        <w:tab/>
        <w:t xml:space="preserve">R256 666.00 per month (R1, 027 million for the 2019/20 financial year to date, i.e. April to July 2019). </w:t>
      </w:r>
      <w:r>
        <w:rPr>
          <w:rFonts w:ascii="Arial" w:hAnsi="Arial" w:cs="Arial"/>
          <w:sz w:val="24"/>
          <w:szCs w:val="24"/>
        </w:rPr>
        <w:t>The</w:t>
      </w:r>
      <w:r w:rsidRPr="00846AC9">
        <w:rPr>
          <w:rFonts w:ascii="Arial" w:hAnsi="Arial" w:cs="Arial"/>
          <w:sz w:val="24"/>
          <w:szCs w:val="24"/>
        </w:rPr>
        <w:t xml:space="preserve"> amount will be paid per month until </w:t>
      </w:r>
      <w:r>
        <w:rPr>
          <w:rFonts w:ascii="Arial" w:hAnsi="Arial" w:cs="Arial"/>
          <w:sz w:val="24"/>
          <w:szCs w:val="24"/>
        </w:rPr>
        <w:t>the integration of the merging d</w:t>
      </w:r>
      <w:r w:rsidR="003D3FF4">
        <w:rPr>
          <w:rFonts w:ascii="Arial" w:hAnsi="Arial" w:cs="Arial"/>
          <w:sz w:val="24"/>
          <w:szCs w:val="24"/>
        </w:rPr>
        <w:t>epartments is</w:t>
      </w:r>
      <w:r w:rsidRPr="00846AC9">
        <w:rPr>
          <w:rFonts w:ascii="Arial" w:hAnsi="Arial" w:cs="Arial"/>
          <w:sz w:val="24"/>
          <w:szCs w:val="24"/>
        </w:rPr>
        <w:t xml:space="preserve"> completed</w:t>
      </w:r>
      <w:r w:rsidRPr="00EE3200">
        <w:t>.</w:t>
      </w:r>
    </w:p>
    <w:p w:rsidR="003F7767" w:rsidRPr="00334048" w:rsidRDefault="003F7767" w:rsidP="003F7767">
      <w:pPr>
        <w:spacing w:after="0" w:line="360" w:lineRule="auto"/>
        <w:ind w:left="1134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B96B4A" w:rsidRDefault="00B96B4A" w:rsidP="00455F6D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3F7767" w:rsidRDefault="003F7767" w:rsidP="00455F6D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3F7767" w:rsidRDefault="003F7767" w:rsidP="00455F6D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3F7767" w:rsidRDefault="003F7767" w:rsidP="00455F6D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3F7767" w:rsidRPr="00455F6D" w:rsidRDefault="003F7767" w:rsidP="00455F6D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AB47A6" w:rsidRPr="001F0925" w:rsidRDefault="00AB47A6" w:rsidP="00A855F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4660F9" w:rsidRPr="001F0925" w:rsidRDefault="00CD4CC0" w:rsidP="00A855F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1F0925">
        <w:rPr>
          <w:rFonts w:ascii="Arial" w:hAnsi="Arial" w:cs="Arial"/>
          <w:b/>
          <w:sz w:val="24"/>
          <w:szCs w:val="24"/>
          <w:lang w:val="en-GB"/>
        </w:rPr>
        <w:t>M</w:t>
      </w:r>
      <w:r w:rsidR="003D3FF4">
        <w:rPr>
          <w:rFonts w:ascii="Arial" w:hAnsi="Arial" w:cs="Arial"/>
          <w:b/>
          <w:sz w:val="24"/>
          <w:szCs w:val="24"/>
          <w:lang w:val="en-GB"/>
        </w:rPr>
        <w:t>S STELLA NDABENI-ABRAHAMS</w:t>
      </w:r>
    </w:p>
    <w:p w:rsidR="004660F9" w:rsidRPr="001F0925" w:rsidRDefault="003D3FF4" w:rsidP="00A855F9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MINISTER</w:t>
      </w:r>
    </w:p>
    <w:sectPr w:rsidR="004660F9" w:rsidRPr="001F0925" w:rsidSect="00B2255A">
      <w:pgSz w:w="11906" w:h="16838"/>
      <w:pgMar w:top="851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D2B" w:rsidRDefault="00D05D2B" w:rsidP="00371C56">
      <w:pPr>
        <w:spacing w:after="0" w:line="240" w:lineRule="auto"/>
      </w:pPr>
      <w:r>
        <w:separator/>
      </w:r>
    </w:p>
  </w:endnote>
  <w:endnote w:type="continuationSeparator" w:id="0">
    <w:p w:rsidR="00D05D2B" w:rsidRDefault="00D05D2B" w:rsidP="0037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D2B" w:rsidRDefault="00D05D2B" w:rsidP="00371C56">
      <w:pPr>
        <w:spacing w:after="0" w:line="240" w:lineRule="auto"/>
      </w:pPr>
      <w:r>
        <w:separator/>
      </w:r>
    </w:p>
  </w:footnote>
  <w:footnote w:type="continuationSeparator" w:id="0">
    <w:p w:rsidR="00D05D2B" w:rsidRDefault="00D05D2B" w:rsidP="00371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481"/>
    <w:multiLevelType w:val="hybridMultilevel"/>
    <w:tmpl w:val="633A030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F12EF"/>
    <w:multiLevelType w:val="hybridMultilevel"/>
    <w:tmpl w:val="AAF880A2"/>
    <w:lvl w:ilvl="0" w:tplc="8CDC62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C3C16"/>
    <w:multiLevelType w:val="hybridMultilevel"/>
    <w:tmpl w:val="D436B38E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6D3C95"/>
    <w:multiLevelType w:val="hybridMultilevel"/>
    <w:tmpl w:val="D4427868"/>
    <w:lvl w:ilvl="0" w:tplc="2C343294">
      <w:start w:val="4"/>
      <w:numFmt w:val="bullet"/>
      <w:lvlText w:val="-"/>
      <w:lvlJc w:val="left"/>
      <w:pPr>
        <w:ind w:left="145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" w15:restartNumberingAfterBreak="0">
    <w:nsid w:val="09C33C51"/>
    <w:multiLevelType w:val="hybridMultilevel"/>
    <w:tmpl w:val="7E7A6F9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93B9A"/>
    <w:multiLevelType w:val="hybridMultilevel"/>
    <w:tmpl w:val="60F89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1608B"/>
    <w:multiLevelType w:val="hybridMultilevel"/>
    <w:tmpl w:val="E7263136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3B72F1"/>
    <w:multiLevelType w:val="hybridMultilevel"/>
    <w:tmpl w:val="A912C0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01E27"/>
    <w:multiLevelType w:val="multilevel"/>
    <w:tmpl w:val="DDCA07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21753DE5"/>
    <w:multiLevelType w:val="hybridMultilevel"/>
    <w:tmpl w:val="8592A72C"/>
    <w:lvl w:ilvl="0" w:tplc="C534140C">
      <w:start w:val="1"/>
      <w:numFmt w:val="decimal"/>
      <w:lvlText w:val="(%1)"/>
      <w:lvlJc w:val="left"/>
      <w:pPr>
        <w:ind w:left="720" w:hanging="360"/>
      </w:pPr>
      <w:rPr>
        <w:rFonts w:ascii="Utsaah" w:eastAsia="Calibri" w:hAnsi="Utsaah" w:cs="Utsaah"/>
        <w:sz w:val="3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23ADE"/>
    <w:multiLevelType w:val="hybridMultilevel"/>
    <w:tmpl w:val="1DB6186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2C3066"/>
    <w:multiLevelType w:val="hybridMultilevel"/>
    <w:tmpl w:val="CE2E6BA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F32EF9"/>
    <w:multiLevelType w:val="hybridMultilevel"/>
    <w:tmpl w:val="67D4A2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1803F46"/>
    <w:multiLevelType w:val="hybridMultilevel"/>
    <w:tmpl w:val="E31A0D04"/>
    <w:lvl w:ilvl="0" w:tplc="9EC8D9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E3B26"/>
    <w:multiLevelType w:val="hybridMultilevel"/>
    <w:tmpl w:val="0AC47A4E"/>
    <w:lvl w:ilvl="0" w:tplc="531AA5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713273"/>
    <w:multiLevelType w:val="hybridMultilevel"/>
    <w:tmpl w:val="41E2EFD2"/>
    <w:lvl w:ilvl="0" w:tplc="C2E6804C">
      <w:start w:val="4"/>
      <w:numFmt w:val="bullet"/>
      <w:lvlText w:val="-"/>
      <w:lvlJc w:val="left"/>
      <w:pPr>
        <w:ind w:left="141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52B65C77"/>
    <w:multiLevelType w:val="hybridMultilevel"/>
    <w:tmpl w:val="FD9CF6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656A7"/>
    <w:multiLevelType w:val="hybridMultilevel"/>
    <w:tmpl w:val="94448CDE"/>
    <w:lvl w:ilvl="0" w:tplc="1132E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E50D1"/>
    <w:multiLevelType w:val="hybridMultilevel"/>
    <w:tmpl w:val="29ECB1AA"/>
    <w:lvl w:ilvl="0" w:tplc="1C0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1C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9" w15:restartNumberingAfterBreak="0">
    <w:nsid w:val="5FB27ABE"/>
    <w:multiLevelType w:val="hybridMultilevel"/>
    <w:tmpl w:val="F5AC7030"/>
    <w:lvl w:ilvl="0" w:tplc="35DA47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B40EE"/>
    <w:multiLevelType w:val="hybridMultilevel"/>
    <w:tmpl w:val="7602B6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F122C"/>
    <w:multiLevelType w:val="hybridMultilevel"/>
    <w:tmpl w:val="BD02815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4934BC"/>
    <w:multiLevelType w:val="hybridMultilevel"/>
    <w:tmpl w:val="B6B60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60748"/>
    <w:multiLevelType w:val="hybridMultilevel"/>
    <w:tmpl w:val="8C1A533C"/>
    <w:lvl w:ilvl="0" w:tplc="6B60BA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B4ED7"/>
    <w:multiLevelType w:val="hybridMultilevel"/>
    <w:tmpl w:val="95F09088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D7711E"/>
    <w:multiLevelType w:val="hybridMultilevel"/>
    <w:tmpl w:val="0792CD28"/>
    <w:lvl w:ilvl="0" w:tplc="898C6BA4">
      <w:start w:val="2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0A0024"/>
    <w:multiLevelType w:val="hybridMultilevel"/>
    <w:tmpl w:val="BB427A1C"/>
    <w:lvl w:ilvl="0" w:tplc="C8AA988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91A7F"/>
    <w:multiLevelType w:val="hybridMultilevel"/>
    <w:tmpl w:val="467C8F6E"/>
    <w:lvl w:ilvl="0" w:tplc="1C090017">
      <w:start w:val="1"/>
      <w:numFmt w:val="lowerLetter"/>
      <w:lvlText w:val="%1)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DDF33AE"/>
    <w:multiLevelType w:val="hybridMultilevel"/>
    <w:tmpl w:val="E588354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A2284"/>
    <w:multiLevelType w:val="hybridMultilevel"/>
    <w:tmpl w:val="A11064F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18"/>
  </w:num>
  <w:num w:numId="5">
    <w:abstractNumId w:val="21"/>
  </w:num>
  <w:num w:numId="6">
    <w:abstractNumId w:val="4"/>
  </w:num>
  <w:num w:numId="7">
    <w:abstractNumId w:val="29"/>
  </w:num>
  <w:num w:numId="8">
    <w:abstractNumId w:val="0"/>
  </w:num>
  <w:num w:numId="9">
    <w:abstractNumId w:val="2"/>
  </w:num>
  <w:num w:numId="10">
    <w:abstractNumId w:val="11"/>
  </w:num>
  <w:num w:numId="11">
    <w:abstractNumId w:val="24"/>
  </w:num>
  <w:num w:numId="12">
    <w:abstractNumId w:val="6"/>
  </w:num>
  <w:num w:numId="13">
    <w:abstractNumId w:val="17"/>
  </w:num>
  <w:num w:numId="14">
    <w:abstractNumId w:val="26"/>
  </w:num>
  <w:num w:numId="15">
    <w:abstractNumId w:val="23"/>
  </w:num>
  <w:num w:numId="16">
    <w:abstractNumId w:val="19"/>
  </w:num>
  <w:num w:numId="17">
    <w:abstractNumId w:val="9"/>
  </w:num>
  <w:num w:numId="18">
    <w:abstractNumId w:val="13"/>
  </w:num>
  <w:num w:numId="19">
    <w:abstractNumId w:val="1"/>
  </w:num>
  <w:num w:numId="20">
    <w:abstractNumId w:val="22"/>
  </w:num>
  <w:num w:numId="21">
    <w:abstractNumId w:val="8"/>
  </w:num>
  <w:num w:numId="22">
    <w:abstractNumId w:val="12"/>
  </w:num>
  <w:num w:numId="23">
    <w:abstractNumId w:val="25"/>
  </w:num>
  <w:num w:numId="24">
    <w:abstractNumId w:val="7"/>
  </w:num>
  <w:num w:numId="25">
    <w:abstractNumId w:val="16"/>
  </w:num>
  <w:num w:numId="26">
    <w:abstractNumId w:val="28"/>
  </w:num>
  <w:num w:numId="27">
    <w:abstractNumId w:val="14"/>
  </w:num>
  <w:num w:numId="28">
    <w:abstractNumId w:val="27"/>
  </w:num>
  <w:num w:numId="29">
    <w:abstractNumId w:val="1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DC"/>
    <w:rsid w:val="00043FEF"/>
    <w:rsid w:val="00085245"/>
    <w:rsid w:val="000B48A0"/>
    <w:rsid w:val="000D56C3"/>
    <w:rsid w:val="000D7343"/>
    <w:rsid w:val="000E077A"/>
    <w:rsid w:val="000E0C83"/>
    <w:rsid w:val="000E3F2B"/>
    <w:rsid w:val="00155F29"/>
    <w:rsid w:val="00166015"/>
    <w:rsid w:val="00196129"/>
    <w:rsid w:val="001D24B4"/>
    <w:rsid w:val="001E1F24"/>
    <w:rsid w:val="001F0925"/>
    <w:rsid w:val="001F10C3"/>
    <w:rsid w:val="00210406"/>
    <w:rsid w:val="002348AC"/>
    <w:rsid w:val="00237799"/>
    <w:rsid w:val="00253A5B"/>
    <w:rsid w:val="00257DC7"/>
    <w:rsid w:val="00261D78"/>
    <w:rsid w:val="00272A40"/>
    <w:rsid w:val="00292E80"/>
    <w:rsid w:val="002E7852"/>
    <w:rsid w:val="002F43F1"/>
    <w:rsid w:val="002F569B"/>
    <w:rsid w:val="002F7C6C"/>
    <w:rsid w:val="003406B3"/>
    <w:rsid w:val="00344ED5"/>
    <w:rsid w:val="003479F9"/>
    <w:rsid w:val="003538B7"/>
    <w:rsid w:val="00371C56"/>
    <w:rsid w:val="00393316"/>
    <w:rsid w:val="003D3FF4"/>
    <w:rsid w:val="003E00FF"/>
    <w:rsid w:val="003F1354"/>
    <w:rsid w:val="003F7767"/>
    <w:rsid w:val="00407AC4"/>
    <w:rsid w:val="00430988"/>
    <w:rsid w:val="00437AAC"/>
    <w:rsid w:val="00452B98"/>
    <w:rsid w:val="00455F6D"/>
    <w:rsid w:val="00456D70"/>
    <w:rsid w:val="004660F9"/>
    <w:rsid w:val="004955AC"/>
    <w:rsid w:val="004A41C4"/>
    <w:rsid w:val="004B091E"/>
    <w:rsid w:val="004B35C4"/>
    <w:rsid w:val="004B5186"/>
    <w:rsid w:val="004C2243"/>
    <w:rsid w:val="00501F6C"/>
    <w:rsid w:val="00506CC1"/>
    <w:rsid w:val="00524C01"/>
    <w:rsid w:val="0052620D"/>
    <w:rsid w:val="005630DC"/>
    <w:rsid w:val="005816FE"/>
    <w:rsid w:val="00582EA7"/>
    <w:rsid w:val="00594BFF"/>
    <w:rsid w:val="006138DE"/>
    <w:rsid w:val="0062287E"/>
    <w:rsid w:val="006242F1"/>
    <w:rsid w:val="006302D4"/>
    <w:rsid w:val="00651426"/>
    <w:rsid w:val="00655E66"/>
    <w:rsid w:val="006577C2"/>
    <w:rsid w:val="00666E5B"/>
    <w:rsid w:val="006709DD"/>
    <w:rsid w:val="006B0FF7"/>
    <w:rsid w:val="006B44C2"/>
    <w:rsid w:val="006F19D6"/>
    <w:rsid w:val="006F6ADC"/>
    <w:rsid w:val="007048AE"/>
    <w:rsid w:val="007054B6"/>
    <w:rsid w:val="00715781"/>
    <w:rsid w:val="0075318E"/>
    <w:rsid w:val="00793A54"/>
    <w:rsid w:val="007B3ABD"/>
    <w:rsid w:val="007D405A"/>
    <w:rsid w:val="007E4431"/>
    <w:rsid w:val="007E5456"/>
    <w:rsid w:val="00833289"/>
    <w:rsid w:val="00834CEB"/>
    <w:rsid w:val="00865E3A"/>
    <w:rsid w:val="00887216"/>
    <w:rsid w:val="008873C3"/>
    <w:rsid w:val="008A6791"/>
    <w:rsid w:val="008B7874"/>
    <w:rsid w:val="008E00AD"/>
    <w:rsid w:val="008F4A53"/>
    <w:rsid w:val="008F5471"/>
    <w:rsid w:val="00947C35"/>
    <w:rsid w:val="00955A0D"/>
    <w:rsid w:val="00973A1D"/>
    <w:rsid w:val="009D31F6"/>
    <w:rsid w:val="009E44BE"/>
    <w:rsid w:val="00A643F7"/>
    <w:rsid w:val="00A838CC"/>
    <w:rsid w:val="00A855F9"/>
    <w:rsid w:val="00A85677"/>
    <w:rsid w:val="00A9549E"/>
    <w:rsid w:val="00AA20E9"/>
    <w:rsid w:val="00AA6C5D"/>
    <w:rsid w:val="00AB47A6"/>
    <w:rsid w:val="00B2255A"/>
    <w:rsid w:val="00B251CB"/>
    <w:rsid w:val="00B350CE"/>
    <w:rsid w:val="00B47470"/>
    <w:rsid w:val="00B60654"/>
    <w:rsid w:val="00B74D24"/>
    <w:rsid w:val="00B80378"/>
    <w:rsid w:val="00B9419D"/>
    <w:rsid w:val="00B95AD0"/>
    <w:rsid w:val="00B96B4A"/>
    <w:rsid w:val="00BA3BC6"/>
    <w:rsid w:val="00BE0B3B"/>
    <w:rsid w:val="00C00113"/>
    <w:rsid w:val="00C044F5"/>
    <w:rsid w:val="00C24407"/>
    <w:rsid w:val="00C3628B"/>
    <w:rsid w:val="00C7255B"/>
    <w:rsid w:val="00C9735F"/>
    <w:rsid w:val="00CA7A13"/>
    <w:rsid w:val="00CB08D7"/>
    <w:rsid w:val="00CD4CC0"/>
    <w:rsid w:val="00CE60C3"/>
    <w:rsid w:val="00D05D2B"/>
    <w:rsid w:val="00D237D4"/>
    <w:rsid w:val="00D2742B"/>
    <w:rsid w:val="00D34214"/>
    <w:rsid w:val="00D4235F"/>
    <w:rsid w:val="00D739BA"/>
    <w:rsid w:val="00D810FB"/>
    <w:rsid w:val="00D8138B"/>
    <w:rsid w:val="00D971A7"/>
    <w:rsid w:val="00DA34D0"/>
    <w:rsid w:val="00DA58CC"/>
    <w:rsid w:val="00DB7198"/>
    <w:rsid w:val="00DC53E4"/>
    <w:rsid w:val="00DD0652"/>
    <w:rsid w:val="00DE7E31"/>
    <w:rsid w:val="00DF2128"/>
    <w:rsid w:val="00E005B6"/>
    <w:rsid w:val="00E14E48"/>
    <w:rsid w:val="00E1783C"/>
    <w:rsid w:val="00E33768"/>
    <w:rsid w:val="00E661A6"/>
    <w:rsid w:val="00E87CC0"/>
    <w:rsid w:val="00ED4F44"/>
    <w:rsid w:val="00EE2BA6"/>
    <w:rsid w:val="00F131A0"/>
    <w:rsid w:val="00F1386A"/>
    <w:rsid w:val="00F14794"/>
    <w:rsid w:val="00F15845"/>
    <w:rsid w:val="00F31CB4"/>
    <w:rsid w:val="00F429C3"/>
    <w:rsid w:val="00F43CAE"/>
    <w:rsid w:val="00F74E1A"/>
    <w:rsid w:val="00F90352"/>
    <w:rsid w:val="00F961DA"/>
    <w:rsid w:val="00FA2736"/>
    <w:rsid w:val="00FE36AE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169A6-50A2-4A56-8DD3-A3842AAB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0DC"/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DC"/>
    <w:pPr>
      <w:spacing w:after="0" w:line="240" w:lineRule="auto"/>
      <w:ind w:left="720"/>
      <w:contextualSpacing/>
    </w:pPr>
    <w:rPr>
      <w:rFonts w:eastAsiaTheme="minorHAnsi"/>
      <w:lang w:val="en-US"/>
    </w:rPr>
  </w:style>
  <w:style w:type="table" w:styleId="TableGrid">
    <w:name w:val="Table Grid"/>
    <w:basedOn w:val="TableNormal"/>
    <w:uiPriority w:val="59"/>
    <w:rsid w:val="0052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C56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371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C56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F1"/>
    <w:rPr>
      <w:rFonts w:ascii="Segoe UI" w:eastAsia="Calibri" w:hAnsi="Segoe UI" w:cs="Segoe UI"/>
      <w:sz w:val="18"/>
      <w:szCs w:val="18"/>
      <w:lang w:val="af-Z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0378"/>
    <w:pPr>
      <w:spacing w:after="0" w:line="360" w:lineRule="auto"/>
      <w:ind w:left="1440" w:hanging="1440"/>
    </w:pPr>
    <w:rPr>
      <w:rFonts w:ascii="CG Times" w:eastAsiaTheme="minorHAnsi" w:hAnsi="CG Times" w:cs="Calibri"/>
      <w:sz w:val="24"/>
      <w:szCs w:val="24"/>
      <w:lang w:val="en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0378"/>
    <w:rPr>
      <w:rFonts w:ascii="CG Times" w:hAnsi="CG Times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C848B-C669-4EF3-BD83-0AAEEE87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Zaytoen Anthony</dc:creator>
  <cp:keywords/>
  <dc:description/>
  <cp:lastModifiedBy>Bathandwa Mlambo</cp:lastModifiedBy>
  <cp:revision>3</cp:revision>
  <cp:lastPrinted>2019-09-04T07:25:00Z</cp:lastPrinted>
  <dcterms:created xsi:type="dcterms:W3CDTF">2019-09-05T14:24:00Z</dcterms:created>
  <dcterms:modified xsi:type="dcterms:W3CDTF">2019-09-11T13:00:00Z</dcterms:modified>
</cp:coreProperties>
</file>