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F3" w:rsidRPr="001B4ED7" w:rsidRDefault="00695EF3" w:rsidP="00695EF3">
      <w:pPr>
        <w:pStyle w:val="DACBODYTEXT"/>
        <w:spacing w:line="240" w:lineRule="auto"/>
        <w:ind w:left="84"/>
        <w:jc w:val="center"/>
        <w:rPr>
          <w:rFonts w:cs="Arial"/>
          <w:b/>
          <w:sz w:val="32"/>
          <w:szCs w:val="32"/>
        </w:rPr>
      </w:pPr>
      <w:r w:rsidRPr="001B4ED7">
        <w:rPr>
          <w:rFonts w:cs="Arial"/>
          <w:b/>
          <w:sz w:val="32"/>
          <w:szCs w:val="32"/>
        </w:rPr>
        <w:t>NATIONAL ASSEMBLY</w:t>
      </w:r>
    </w:p>
    <w:p w:rsidR="00695EF3" w:rsidRDefault="00695EF3" w:rsidP="00695EF3">
      <w:pPr>
        <w:pStyle w:val="DACBODYTEXT"/>
        <w:spacing w:after="0" w:line="240" w:lineRule="auto"/>
        <w:ind w:left="84" w:hanging="84"/>
        <w:rPr>
          <w:rFonts w:cs="Arial"/>
          <w:b/>
          <w:sz w:val="32"/>
          <w:szCs w:val="32"/>
          <w:u w:val="single"/>
        </w:rPr>
      </w:pPr>
    </w:p>
    <w:p w:rsidR="00695EF3" w:rsidRPr="00B8732A" w:rsidRDefault="00695EF3" w:rsidP="00695EF3">
      <w:pPr>
        <w:pStyle w:val="DACBODYTEXT"/>
        <w:spacing w:after="0" w:line="240" w:lineRule="auto"/>
        <w:ind w:left="84" w:hanging="84"/>
        <w:rPr>
          <w:rFonts w:cs="Arial"/>
          <w:b/>
          <w:sz w:val="32"/>
          <w:szCs w:val="32"/>
          <w:u w:val="single"/>
        </w:rPr>
      </w:pPr>
      <w:r w:rsidRPr="00B8732A">
        <w:rPr>
          <w:rFonts w:cs="Arial"/>
          <w:b/>
          <w:sz w:val="32"/>
          <w:szCs w:val="32"/>
          <w:u w:val="single"/>
        </w:rPr>
        <w:t>QUESTION NO. 4332-2022</w:t>
      </w:r>
    </w:p>
    <w:p w:rsidR="00695EF3" w:rsidRDefault="00695EF3" w:rsidP="00695EF3">
      <w:pPr>
        <w:tabs>
          <w:tab w:val="left" w:pos="576"/>
          <w:tab w:val="left" w:pos="1296"/>
          <w:tab w:val="left" w:pos="6336"/>
        </w:tabs>
        <w:spacing w:after="0" w:line="240" w:lineRule="auto"/>
        <w:ind w:left="70" w:hanging="70"/>
        <w:jc w:val="both"/>
        <w:rPr>
          <w:rFonts w:ascii="Arial" w:hAnsi="Arial" w:cs="Arial"/>
          <w:b/>
          <w:sz w:val="32"/>
          <w:szCs w:val="32"/>
        </w:rPr>
      </w:pPr>
      <w:r w:rsidRPr="00B8732A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695EF3" w:rsidRDefault="00695EF3" w:rsidP="00695EF3">
      <w:pPr>
        <w:tabs>
          <w:tab w:val="left" w:pos="576"/>
          <w:tab w:val="left" w:pos="1296"/>
          <w:tab w:val="left" w:pos="6336"/>
        </w:tabs>
        <w:spacing w:after="0" w:line="240" w:lineRule="auto"/>
        <w:ind w:left="70" w:hanging="70"/>
        <w:jc w:val="both"/>
        <w:rPr>
          <w:rFonts w:ascii="Arial" w:hAnsi="Arial" w:cs="Arial"/>
          <w:b/>
          <w:sz w:val="32"/>
          <w:szCs w:val="32"/>
        </w:rPr>
      </w:pPr>
      <w:r w:rsidRPr="00B8732A">
        <w:rPr>
          <w:rFonts w:ascii="Arial" w:hAnsi="Arial" w:cs="Arial"/>
          <w:b/>
          <w:bCs/>
          <w:sz w:val="32"/>
          <w:szCs w:val="32"/>
        </w:rPr>
        <w:t>INTERNAL QUESTION PAPER NO. 49-2022 DATED 18 NOVEMBER 2022</w:t>
      </w:r>
    </w:p>
    <w:p w:rsidR="00695EF3" w:rsidRPr="00B8732A" w:rsidRDefault="00695EF3" w:rsidP="00695EF3">
      <w:pPr>
        <w:tabs>
          <w:tab w:val="left" w:pos="576"/>
          <w:tab w:val="left" w:pos="1296"/>
          <w:tab w:val="left" w:pos="6336"/>
        </w:tabs>
        <w:spacing w:after="0" w:line="240" w:lineRule="auto"/>
        <w:ind w:left="70" w:hanging="70"/>
        <w:jc w:val="both"/>
        <w:rPr>
          <w:rFonts w:ascii="Arial" w:hAnsi="Arial" w:cs="Arial"/>
          <w:b/>
          <w:sz w:val="32"/>
          <w:szCs w:val="32"/>
        </w:rPr>
      </w:pPr>
      <w:r w:rsidRPr="00B8732A">
        <w:rPr>
          <w:rFonts w:ascii="Arial" w:hAnsi="Arial" w:cs="Arial"/>
          <w:b/>
          <w:sz w:val="32"/>
          <w:szCs w:val="32"/>
        </w:rPr>
        <w:t>“Mr T W Mhlongo (DA) to ask the Minister of Sport, Arts and Culture</w:t>
      </w:r>
      <w:r w:rsidR="0079631B" w:rsidRPr="00B8732A">
        <w:rPr>
          <w:rFonts w:ascii="Arial" w:hAnsi="Arial" w:cs="Arial"/>
          <w:b/>
          <w:sz w:val="32"/>
          <w:szCs w:val="32"/>
        </w:rPr>
        <w:fldChar w:fldCharType="begin"/>
      </w:r>
      <w:r w:rsidRPr="00B8732A">
        <w:rPr>
          <w:rFonts w:ascii="Arial" w:hAnsi="Arial" w:cs="Arial"/>
          <w:b/>
          <w:sz w:val="32"/>
          <w:szCs w:val="32"/>
        </w:rPr>
        <w:instrText xml:space="preserve"> XE "</w:instrText>
      </w:r>
      <w:r w:rsidRPr="00B8732A">
        <w:rPr>
          <w:rFonts w:ascii="Arial" w:hAnsi="Arial" w:cs="Arial"/>
          <w:b/>
          <w:sz w:val="32"/>
          <w:szCs w:val="32"/>
          <w:lang w:val="af-ZA"/>
        </w:rPr>
        <w:instrText>Minister of Sport, Arts and Culture</w:instrText>
      </w:r>
      <w:r w:rsidRPr="00B8732A">
        <w:rPr>
          <w:rFonts w:ascii="Arial" w:hAnsi="Arial" w:cs="Arial"/>
          <w:b/>
          <w:sz w:val="32"/>
          <w:szCs w:val="32"/>
        </w:rPr>
        <w:instrText xml:space="preserve">" </w:instrText>
      </w:r>
      <w:r w:rsidR="0079631B" w:rsidRPr="00B8732A">
        <w:rPr>
          <w:rFonts w:ascii="Arial" w:hAnsi="Arial" w:cs="Arial"/>
          <w:b/>
          <w:sz w:val="32"/>
          <w:szCs w:val="32"/>
        </w:rPr>
        <w:fldChar w:fldCharType="end"/>
      </w:r>
      <w:r w:rsidRPr="00B8732A">
        <w:rPr>
          <w:rFonts w:ascii="Arial" w:hAnsi="Arial" w:cs="Arial"/>
          <w:b/>
          <w:sz w:val="32"/>
          <w:szCs w:val="32"/>
        </w:rPr>
        <w:t xml:space="preserve">: </w:t>
      </w:r>
    </w:p>
    <w:p w:rsidR="00695EF3" w:rsidRPr="001B4ED7" w:rsidRDefault="00695EF3" w:rsidP="00695EF3">
      <w:pPr>
        <w:spacing w:before="100" w:beforeAutospacing="1" w:after="100" w:afterAutospacing="1" w:line="240" w:lineRule="auto"/>
        <w:ind w:left="851" w:right="450" w:hanging="851"/>
        <w:jc w:val="both"/>
        <w:outlineLvl w:val="0"/>
        <w:rPr>
          <w:rFonts w:ascii="Arial" w:hAnsi="Arial" w:cs="Arial"/>
          <w:sz w:val="32"/>
          <w:szCs w:val="32"/>
        </w:rPr>
      </w:pPr>
      <w:r w:rsidRPr="001B4ED7">
        <w:rPr>
          <w:rFonts w:ascii="Arial" w:hAnsi="Arial" w:cs="Arial"/>
          <w:sz w:val="32"/>
          <w:szCs w:val="32"/>
        </w:rPr>
        <w:t>(1)</w:t>
      </w:r>
      <w:r w:rsidRPr="001B4ED7">
        <w:rPr>
          <w:rFonts w:ascii="Arial" w:hAnsi="Arial" w:cs="Arial"/>
          <w:sz w:val="32"/>
          <w:szCs w:val="32"/>
        </w:rPr>
        <w:tab/>
        <w:t xml:space="preserve">With reference to his reply to question 2599 on 15 September 2022, what are the total legal costs incurred in </w:t>
      </w:r>
      <w:proofErr w:type="spellStart"/>
      <w:r w:rsidRPr="001B4ED7">
        <w:rPr>
          <w:rFonts w:ascii="Arial" w:hAnsi="Arial" w:cs="Arial"/>
          <w:sz w:val="32"/>
          <w:szCs w:val="32"/>
        </w:rPr>
        <w:t>Rands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 (a) by the National Arts Council of South Africa (NAC) from its own attorneys and (b) from unsuccessful litigation of opposing parties, whilst fighting the SA Roadies Association (SARA) (</w:t>
      </w:r>
      <w:proofErr w:type="spellStart"/>
      <w:r w:rsidRPr="001B4ED7">
        <w:rPr>
          <w:rFonts w:ascii="Arial" w:hAnsi="Arial" w:cs="Arial"/>
          <w:sz w:val="32"/>
          <w:szCs w:val="32"/>
        </w:rPr>
        <w:t>i</w:t>
      </w:r>
      <w:proofErr w:type="spellEnd"/>
      <w:r w:rsidRPr="001B4ED7">
        <w:rPr>
          <w:rFonts w:ascii="Arial" w:hAnsi="Arial" w:cs="Arial"/>
          <w:sz w:val="32"/>
          <w:szCs w:val="32"/>
        </w:rPr>
        <w:t>) in the (</w:t>
      </w:r>
      <w:proofErr w:type="spellStart"/>
      <w:r w:rsidRPr="001B4ED7">
        <w:rPr>
          <w:rFonts w:ascii="Arial" w:hAnsi="Arial" w:cs="Arial"/>
          <w:sz w:val="32"/>
          <w:szCs w:val="32"/>
        </w:rPr>
        <w:t>aa</w:t>
      </w:r>
      <w:proofErr w:type="spellEnd"/>
      <w:r w:rsidRPr="001B4ED7">
        <w:rPr>
          <w:rFonts w:ascii="Arial" w:hAnsi="Arial" w:cs="Arial"/>
          <w:sz w:val="32"/>
          <w:szCs w:val="32"/>
        </w:rPr>
        <w:t>) 2018-19, (bb) 2019-20, (cc) 2020-21 and (</w:t>
      </w:r>
      <w:proofErr w:type="spellStart"/>
      <w:r w:rsidRPr="001B4ED7">
        <w:rPr>
          <w:rFonts w:ascii="Arial" w:hAnsi="Arial" w:cs="Arial"/>
          <w:sz w:val="32"/>
          <w:szCs w:val="32"/>
        </w:rPr>
        <w:t>dd</w:t>
      </w:r>
      <w:proofErr w:type="spellEnd"/>
      <w:r w:rsidRPr="001B4ED7">
        <w:rPr>
          <w:rFonts w:ascii="Arial" w:hAnsi="Arial" w:cs="Arial"/>
          <w:sz w:val="32"/>
          <w:szCs w:val="32"/>
        </w:rPr>
        <w:t xml:space="preserve">) 2021-22 financial years and (ii) from 1 April 2022 to date. </w:t>
      </w:r>
    </w:p>
    <w:p w:rsidR="00695EF3" w:rsidRPr="001B4ED7" w:rsidRDefault="00695EF3" w:rsidP="00695EF3">
      <w:pPr>
        <w:spacing w:before="100" w:beforeAutospacing="1" w:after="100" w:afterAutospacing="1" w:line="240" w:lineRule="auto"/>
        <w:ind w:left="851" w:right="450" w:hanging="851"/>
        <w:jc w:val="both"/>
        <w:outlineLvl w:val="0"/>
        <w:rPr>
          <w:rFonts w:ascii="Arial" w:hAnsi="Arial" w:cs="Arial"/>
          <w:sz w:val="32"/>
          <w:szCs w:val="32"/>
        </w:rPr>
      </w:pPr>
      <w:r w:rsidRPr="001B4ED7">
        <w:rPr>
          <w:rFonts w:ascii="Arial" w:hAnsi="Arial" w:cs="Arial"/>
          <w:sz w:val="32"/>
          <w:szCs w:val="32"/>
        </w:rPr>
        <w:t>(2)</w:t>
      </w:r>
      <w:r w:rsidRPr="001B4ED7">
        <w:rPr>
          <w:rFonts w:ascii="Arial" w:hAnsi="Arial" w:cs="Arial"/>
          <w:sz w:val="32"/>
          <w:szCs w:val="32"/>
        </w:rPr>
        <w:tab/>
      </w:r>
      <w:proofErr w:type="gramStart"/>
      <w:r w:rsidRPr="001B4ED7">
        <w:rPr>
          <w:rFonts w:ascii="Arial" w:hAnsi="Arial" w:cs="Arial"/>
          <w:sz w:val="32"/>
          <w:szCs w:val="32"/>
        </w:rPr>
        <w:t>what</w:t>
      </w:r>
      <w:proofErr w:type="gramEnd"/>
      <w:r w:rsidRPr="001B4ED7">
        <w:rPr>
          <w:rFonts w:ascii="Arial" w:hAnsi="Arial" w:cs="Arial"/>
          <w:sz w:val="32"/>
          <w:szCs w:val="32"/>
        </w:rPr>
        <w:t xml:space="preserve"> are the reasons for proceeding to court and incurring such costs, considering that an agreement between NAC and SARA was concluded on 9 November 2021, where matters would be settled amicably? </w:t>
      </w:r>
      <w:r w:rsidRPr="001B4ED7">
        <w:rPr>
          <w:rFonts w:ascii="Arial" w:hAnsi="Arial" w:cs="Arial"/>
          <w:sz w:val="32"/>
          <w:szCs w:val="32"/>
        </w:rPr>
        <w:tab/>
        <w:t xml:space="preserve">                                                             </w:t>
      </w:r>
      <w:r w:rsidRPr="001B4ED7">
        <w:rPr>
          <w:rFonts w:ascii="Arial" w:hAnsi="Arial" w:cs="Arial"/>
          <w:b/>
          <w:bCs/>
          <w:sz w:val="32"/>
          <w:szCs w:val="32"/>
        </w:rPr>
        <w:t>NW5453E</w:t>
      </w:r>
    </w:p>
    <w:p w:rsidR="00695EF3" w:rsidRDefault="00695EF3" w:rsidP="00695EF3">
      <w:pPr>
        <w:tabs>
          <w:tab w:val="left" w:pos="8931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B4ED7">
        <w:rPr>
          <w:rFonts w:ascii="Arial" w:hAnsi="Arial" w:cs="Arial"/>
          <w:b/>
          <w:sz w:val="32"/>
          <w:szCs w:val="32"/>
        </w:rPr>
        <w:t xml:space="preserve">REPLY: </w:t>
      </w:r>
    </w:p>
    <w:p w:rsidR="00695EF3" w:rsidRDefault="00695EF3" w:rsidP="00695EF3">
      <w:pPr>
        <w:tabs>
          <w:tab w:val="left" w:pos="8931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 I have indicated in my response to question 2599 by the Hon. Member that:</w:t>
      </w:r>
    </w:p>
    <w:p w:rsidR="00695EF3" w:rsidRPr="00464CC2" w:rsidRDefault="00695EF3" w:rsidP="00695EF3">
      <w:pPr>
        <w:spacing w:line="240" w:lineRule="auto"/>
        <w:jc w:val="both"/>
        <w:rPr>
          <w:rFonts w:cs="Arial"/>
          <w:sz w:val="32"/>
          <w:szCs w:val="32"/>
        </w:rPr>
      </w:pPr>
      <w:r w:rsidRPr="00A64319">
        <w:rPr>
          <w:rFonts w:cs="Arial"/>
          <w:sz w:val="32"/>
          <w:szCs w:val="32"/>
        </w:rPr>
        <w:t xml:space="preserve">Legal costs are annually budgeted, however, it is difficult to make precise determination in budgeting for legal costs, as a result, periodically, </w:t>
      </w:r>
      <w:proofErr w:type="gramStart"/>
      <w:r w:rsidRPr="00A64319">
        <w:rPr>
          <w:rFonts w:cs="Arial"/>
          <w:sz w:val="32"/>
          <w:szCs w:val="32"/>
        </w:rPr>
        <w:t>the</w:t>
      </w:r>
      <w:proofErr w:type="gramEnd"/>
      <w:r w:rsidRPr="00A64319">
        <w:rPr>
          <w:rFonts w:cs="Arial"/>
          <w:sz w:val="32"/>
          <w:szCs w:val="32"/>
        </w:rPr>
        <w:t xml:space="preserve"> legal costs budget is adjusted informed by case</w:t>
      </w:r>
      <w:r>
        <w:rPr>
          <w:rFonts w:cs="Arial"/>
          <w:sz w:val="32"/>
          <w:szCs w:val="32"/>
        </w:rPr>
        <w:t xml:space="preserve"> at hand. This is in line with </w:t>
      </w:r>
      <w:r w:rsidRPr="00A64319">
        <w:rPr>
          <w:rFonts w:cs="Arial"/>
          <w:sz w:val="32"/>
          <w:szCs w:val="32"/>
        </w:rPr>
        <w:t>Audit requirements that prescribe adequate contingency provisioning for legal costs and in line with National Treasury Regulations that allow Goods and Services budget adjustments.</w:t>
      </w:r>
    </w:p>
    <w:p w:rsidR="006A33F5" w:rsidRDefault="000B3301">
      <w:bookmarkStart w:id="0" w:name="_GoBack"/>
      <w:bookmarkEnd w:id="0"/>
    </w:p>
    <w:sectPr w:rsidR="006A33F5" w:rsidSect="0079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5EF3"/>
    <w:rsid w:val="000B3301"/>
    <w:rsid w:val="00695EF3"/>
    <w:rsid w:val="0079631B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695EF3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2023-01-17T11:30:00Z</dcterms:created>
  <dcterms:modified xsi:type="dcterms:W3CDTF">2023-01-17T11:30:00Z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95c6ae0d-dcc4-4fbd-89d7-0ff9b851c716</vt:lpwstr>
  </property>
</Properties>
</file>