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923553">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6512FA" w:rsidRDefault="008960B2" w:rsidP="00923553">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9231AB">
        <w:rPr>
          <w:rFonts w:ascii="Tahoma" w:hAnsi="Tahoma" w:cs="Tahoma"/>
          <w:b/>
          <w:bCs/>
          <w:sz w:val="22"/>
          <w:szCs w:val="22"/>
          <w:lang w:val="en-ZA"/>
        </w:rPr>
        <w:t>4288</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8960DE" w:rsidP="008F1057">
      <w:pPr>
        <w:autoSpaceDE w:val="0"/>
        <w:autoSpaceDN w:val="0"/>
        <w:adjustRightInd w:val="0"/>
        <w:ind w:left="284"/>
        <w:rPr>
          <w:rFonts w:ascii="Arial" w:hAnsi="Arial" w:cs="Arial"/>
          <w:b/>
          <w:sz w:val="22"/>
          <w:szCs w:val="22"/>
        </w:rPr>
      </w:pPr>
      <w:r w:rsidRPr="008960DE">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r w:rsidR="009231AB">
        <w:rPr>
          <w:rFonts w:ascii="Arial" w:hAnsi="Arial" w:cs="Arial"/>
          <w:b/>
          <w:bCs/>
          <w:lang w:val="en-GB"/>
        </w:rPr>
        <w:t>4288</w:t>
      </w:r>
      <w:r w:rsidR="008E060D">
        <w:rPr>
          <w:rFonts w:ascii="Arial" w:hAnsi="Arial" w:cs="Arial"/>
          <w:b/>
          <w:bCs/>
          <w:lang w:val="en-GB"/>
        </w:rPr>
        <w:t xml:space="preserve">. </w:t>
      </w:r>
      <w:r w:rsidR="009231AB">
        <w:rPr>
          <w:rFonts w:ascii="Arial" w:hAnsi="Arial" w:cs="Arial"/>
          <w:b/>
          <w:lang w:val="en-GB"/>
        </w:rPr>
        <w:t xml:space="preserve">Mr M </w:t>
      </w:r>
      <w:proofErr w:type="spellStart"/>
      <w:r w:rsidR="009231AB">
        <w:rPr>
          <w:rFonts w:ascii="Arial" w:hAnsi="Arial" w:cs="Arial"/>
          <w:b/>
          <w:lang w:val="en-GB"/>
        </w:rPr>
        <w:t>Tshwaku</w:t>
      </w:r>
      <w:proofErr w:type="spellEnd"/>
      <w:r w:rsidR="008B50CB">
        <w:rPr>
          <w:rFonts w:ascii="Arial" w:hAnsi="Arial" w:cs="Arial"/>
          <w:b/>
          <w:lang w:val="en-GB"/>
        </w:rPr>
        <w:t xml:space="preserve"> (</w:t>
      </w:r>
      <w:r w:rsidR="009231AB">
        <w:rPr>
          <w:rFonts w:ascii="Arial" w:hAnsi="Arial" w:cs="Arial"/>
          <w:b/>
          <w:lang w:val="en-GB"/>
        </w:rPr>
        <w:t>E</w:t>
      </w:r>
      <w:r w:rsidR="008B50CB">
        <w:rPr>
          <w:rFonts w:ascii="Arial" w:hAnsi="Arial" w:cs="Arial"/>
          <w:b/>
          <w:lang w:val="en-GB"/>
        </w:rPr>
        <w:t>FF)</w:t>
      </w:r>
      <w:r w:rsidR="00DE22B4" w:rsidRPr="00DE22B4">
        <w:rPr>
          <w:rFonts w:ascii="Arial" w:hAnsi="Arial" w:cs="Arial"/>
          <w:b/>
          <w:lang w:val="en-GB"/>
        </w:rPr>
        <w:t xml:space="preserve"> </w:t>
      </w:r>
      <w:r w:rsidR="008E060D" w:rsidRPr="00DE22B4">
        <w:rPr>
          <w:rFonts w:ascii="Arial" w:hAnsi="Arial" w:cs="Arial"/>
          <w:b/>
          <w:lang w:val="en-GB"/>
        </w:rPr>
        <w:t>t</w:t>
      </w:r>
      <w:r w:rsidR="008E060D">
        <w:rPr>
          <w:rFonts w:ascii="Arial" w:hAnsi="Arial" w:cs="Arial"/>
          <w:b/>
          <w:bCs/>
          <w:lang w:val="en-GB"/>
        </w:rPr>
        <w:t>o ask the Minister of Public Enterprises</w:t>
      </w:r>
      <w:r w:rsidR="00921240" w:rsidRPr="00921240">
        <w:rPr>
          <w:rFonts w:ascii="Arial" w:hAnsi="Arial" w:cs="Arial"/>
          <w:b/>
          <w:lang w:val="en-GB"/>
        </w:rPr>
        <w:t>:</w:t>
      </w:r>
    </w:p>
    <w:p w:rsidR="008C128F" w:rsidRDefault="008C128F" w:rsidP="00817F1E">
      <w:pPr>
        <w:spacing w:line="360" w:lineRule="auto"/>
        <w:ind w:left="284"/>
        <w:jc w:val="both"/>
        <w:outlineLvl w:val="0"/>
        <w:rPr>
          <w:rFonts w:ascii="Arial" w:hAnsi="Arial" w:cs="Arial"/>
          <w:bCs/>
        </w:rPr>
      </w:pPr>
    </w:p>
    <w:p w:rsidR="009231AB" w:rsidRDefault="009231AB" w:rsidP="00817F1E">
      <w:pPr>
        <w:spacing w:line="360" w:lineRule="auto"/>
        <w:ind w:left="284"/>
        <w:jc w:val="both"/>
        <w:outlineLvl w:val="0"/>
        <w:rPr>
          <w:rFonts w:ascii="Arial" w:hAnsi="Arial" w:cs="Arial"/>
          <w:bCs/>
        </w:rPr>
      </w:pPr>
      <w:r>
        <w:rPr>
          <w:rFonts w:ascii="Arial" w:hAnsi="Arial" w:cs="Arial"/>
          <w:bCs/>
        </w:rPr>
        <w:t>Following the decommissioning of the Komati Power Station, what plans (a) does Eskom have in place to decommission more power stations over the next 10 years and (b) have been put in place to ensure that Eskom is able to replace the power generation capacity lost as a result of decommissioning power stations?</w:t>
      </w:r>
    </w:p>
    <w:p w:rsidR="00923553" w:rsidRDefault="00923553" w:rsidP="00817F1E">
      <w:pPr>
        <w:spacing w:line="360" w:lineRule="auto"/>
        <w:ind w:left="284"/>
        <w:jc w:val="both"/>
        <w:outlineLvl w:val="0"/>
        <w:rPr>
          <w:rFonts w:ascii="Arial" w:hAnsi="Arial" w:cs="Arial"/>
          <w:b/>
          <w:u w:val="single"/>
        </w:rPr>
      </w:pPr>
    </w:p>
    <w:p w:rsidR="00E03991" w:rsidRPr="00923553" w:rsidRDefault="00E03991" w:rsidP="00817F1E">
      <w:pPr>
        <w:spacing w:line="360" w:lineRule="auto"/>
        <w:ind w:left="284"/>
        <w:jc w:val="both"/>
        <w:outlineLvl w:val="0"/>
        <w:rPr>
          <w:rFonts w:ascii="Arial" w:hAnsi="Arial" w:cs="Arial"/>
          <w:b/>
          <w:u w:val="single"/>
        </w:rPr>
      </w:pPr>
      <w:r w:rsidRPr="00923553">
        <w:rPr>
          <w:rFonts w:ascii="Arial" w:hAnsi="Arial" w:cs="Arial"/>
          <w:b/>
          <w:u w:val="single"/>
        </w:rPr>
        <w:t>REPLY:</w:t>
      </w:r>
    </w:p>
    <w:p w:rsidR="003042F7" w:rsidRPr="00923553" w:rsidRDefault="00E03991" w:rsidP="00817F1E">
      <w:pPr>
        <w:spacing w:line="360" w:lineRule="auto"/>
        <w:ind w:left="284"/>
        <w:jc w:val="both"/>
        <w:outlineLvl w:val="0"/>
        <w:rPr>
          <w:rFonts w:ascii="Arial" w:hAnsi="Arial" w:cs="Arial"/>
          <w:b/>
        </w:rPr>
      </w:pPr>
      <w:r w:rsidRPr="00923553">
        <w:rPr>
          <w:rFonts w:ascii="Arial" w:hAnsi="Arial" w:cs="Arial"/>
          <w:b/>
        </w:rPr>
        <w:t xml:space="preserve">According </w:t>
      </w:r>
      <w:r w:rsidR="009D2819" w:rsidRPr="00923553">
        <w:rPr>
          <w:rFonts w:ascii="Arial" w:hAnsi="Arial" w:cs="Arial"/>
          <w:b/>
        </w:rPr>
        <w:t>t</w:t>
      </w:r>
      <w:r w:rsidRPr="00923553">
        <w:rPr>
          <w:rFonts w:ascii="Arial" w:hAnsi="Arial" w:cs="Arial"/>
          <w:b/>
        </w:rPr>
        <w:t xml:space="preserve">o </w:t>
      </w:r>
      <w:r w:rsidR="000B1317" w:rsidRPr="00923553">
        <w:rPr>
          <w:rFonts w:ascii="Arial" w:hAnsi="Arial" w:cs="Arial"/>
          <w:b/>
        </w:rPr>
        <w:t>I</w:t>
      </w:r>
      <w:r w:rsidRPr="00923553">
        <w:rPr>
          <w:rFonts w:ascii="Arial" w:hAnsi="Arial" w:cs="Arial"/>
          <w:b/>
        </w:rPr>
        <w:t xml:space="preserve">nformation </w:t>
      </w:r>
      <w:r w:rsidR="000B1317" w:rsidRPr="00923553">
        <w:rPr>
          <w:rFonts w:ascii="Arial" w:hAnsi="Arial" w:cs="Arial"/>
          <w:b/>
        </w:rPr>
        <w:t>R</w:t>
      </w:r>
      <w:r w:rsidRPr="00923553">
        <w:rPr>
          <w:rFonts w:ascii="Arial" w:hAnsi="Arial" w:cs="Arial"/>
          <w:b/>
        </w:rPr>
        <w:t xml:space="preserve">eceived </w:t>
      </w:r>
      <w:r w:rsidR="009D2819" w:rsidRPr="00923553">
        <w:rPr>
          <w:rFonts w:ascii="Arial" w:hAnsi="Arial" w:cs="Arial"/>
          <w:b/>
        </w:rPr>
        <w:t>f</w:t>
      </w:r>
      <w:r w:rsidRPr="00923553">
        <w:rPr>
          <w:rFonts w:ascii="Arial" w:hAnsi="Arial" w:cs="Arial"/>
          <w:b/>
        </w:rPr>
        <w:t xml:space="preserve">rom Eskom: </w:t>
      </w:r>
    </w:p>
    <w:p w:rsidR="006D2F5B" w:rsidRDefault="009E0714" w:rsidP="006D2F5B">
      <w:pPr>
        <w:autoSpaceDE w:val="0"/>
        <w:autoSpaceDN w:val="0"/>
        <w:adjustRightInd w:val="0"/>
        <w:spacing w:line="276" w:lineRule="auto"/>
        <w:jc w:val="both"/>
        <w:rPr>
          <w:rFonts w:ascii="Arial" w:hAnsi="Arial" w:cs="Arial"/>
          <w:b/>
          <w:bCs/>
          <w:lang w:val="en-ZA"/>
        </w:rPr>
      </w:pPr>
      <w:r>
        <w:rPr>
          <w:rFonts w:ascii="Arial" w:eastAsia="Calibri" w:hAnsi="Arial" w:cs="Arial"/>
          <w:lang w:val="en-ZA"/>
        </w:rPr>
        <w:t xml:space="preserve">     </w:t>
      </w:r>
    </w:p>
    <w:p w:rsidR="00011280" w:rsidRDefault="009231AB" w:rsidP="009231AB">
      <w:pPr>
        <w:pStyle w:val="ListParagraph"/>
        <w:widowControl w:val="0"/>
        <w:numPr>
          <w:ilvl w:val="0"/>
          <w:numId w:val="45"/>
        </w:numPr>
        <w:suppressAutoHyphens/>
        <w:spacing w:line="360" w:lineRule="auto"/>
        <w:jc w:val="both"/>
        <w:rPr>
          <w:rFonts w:ascii="Arial" w:eastAsia="Arial Unicode MS" w:hAnsi="Arial" w:cs="Arial"/>
          <w:bCs/>
          <w:lang w:eastAsia="en-PH"/>
        </w:rPr>
      </w:pPr>
      <w:r>
        <w:rPr>
          <w:rFonts w:ascii="Arial" w:eastAsia="Arial Unicode MS" w:hAnsi="Arial" w:cs="Arial"/>
          <w:bCs/>
          <w:lang w:eastAsia="en-PH"/>
        </w:rPr>
        <w:t>In the next 10 years, up to the end of 2032, seven (7) stations, including Komati, are planned to be fully shut down and an additional two (2) are expected to have some units shut down. It should be noted that Eskom currently does not have plans to fully decommission these stations in line with the strategy for repurposing and repowering the sites in support of the Just Energy Transition (JET).</w:t>
      </w:r>
    </w:p>
    <w:p w:rsidR="00CF1A93" w:rsidRDefault="009231AB" w:rsidP="009231AB">
      <w:pPr>
        <w:pStyle w:val="ListParagraph"/>
        <w:widowControl w:val="0"/>
        <w:numPr>
          <w:ilvl w:val="0"/>
          <w:numId w:val="45"/>
        </w:numPr>
        <w:suppressAutoHyphens/>
        <w:spacing w:line="360" w:lineRule="auto"/>
        <w:jc w:val="both"/>
        <w:rPr>
          <w:rFonts w:ascii="Arial" w:eastAsia="Arial Unicode MS" w:hAnsi="Arial" w:cs="Arial"/>
          <w:bCs/>
          <w:lang w:eastAsia="en-PH"/>
        </w:rPr>
      </w:pPr>
      <w:r>
        <w:rPr>
          <w:rFonts w:ascii="Arial" w:eastAsia="Arial Unicode MS" w:hAnsi="Arial" w:cs="Arial"/>
          <w:bCs/>
          <w:lang w:eastAsia="en-PH"/>
        </w:rPr>
        <w:t xml:space="preserve">Eskom plans to add 150 MW solar power, 600 MWh battery energy storage and 70 MW wind power to replace the shut-down capacity at Komati. Eskom notes that it is not expected that the full capacity of the coal stations to be shut down could be replaced on a 1-to-1 basis by repowering and repurposing with renewables. The responsibility of ensuring adequate capacity lies with the Department of Mineral Resources and Energy (DMRE) and those plans are reflected in the latest Integrated </w:t>
      </w:r>
      <w:r w:rsidR="003200F9">
        <w:rPr>
          <w:rFonts w:ascii="Arial" w:eastAsia="Arial Unicode MS" w:hAnsi="Arial" w:cs="Arial"/>
          <w:bCs/>
          <w:lang w:eastAsia="en-PH"/>
        </w:rPr>
        <w:t xml:space="preserve">Resource Plan (IRP 2019). Eskom’s shutdown plans are generally in line with the assumptions in the IRP and in fact, the IRP assumed that 4 888 MW of coal stations would already be shut down by the end of 2022. </w:t>
      </w:r>
      <w:proofErr w:type="spellStart"/>
      <w:r w:rsidR="003200F9">
        <w:rPr>
          <w:rFonts w:ascii="Arial" w:eastAsia="Arial Unicode MS" w:hAnsi="Arial" w:cs="Arial"/>
          <w:bCs/>
          <w:lang w:eastAsia="en-PH"/>
        </w:rPr>
        <w:t>Tutuka</w:t>
      </w:r>
      <w:proofErr w:type="spellEnd"/>
      <w:r w:rsidR="003200F9">
        <w:rPr>
          <w:rFonts w:ascii="Arial" w:eastAsia="Arial Unicode MS" w:hAnsi="Arial" w:cs="Arial"/>
          <w:bCs/>
          <w:lang w:eastAsia="en-PH"/>
        </w:rPr>
        <w:t xml:space="preserve">, however, is planned to be shut down earlier than assumed in the IRP due to techno-economic considerations. </w:t>
      </w:r>
    </w:p>
    <w:p w:rsidR="00CF1A93" w:rsidRDefault="00CF1A93" w:rsidP="00CF1A93">
      <w:pPr>
        <w:widowControl w:val="0"/>
        <w:suppressAutoHyphens/>
        <w:spacing w:line="360" w:lineRule="auto"/>
        <w:ind w:left="284"/>
        <w:jc w:val="both"/>
        <w:rPr>
          <w:rFonts w:ascii="Arial" w:eastAsia="Arial Unicode MS" w:hAnsi="Arial" w:cs="Arial"/>
          <w:bCs/>
          <w:lang w:eastAsia="en-PH"/>
        </w:rPr>
      </w:pPr>
    </w:p>
    <w:p w:rsidR="00CF1A93" w:rsidRDefault="00CF1A93" w:rsidP="00CF1A93">
      <w:pPr>
        <w:widowControl w:val="0"/>
        <w:suppressAutoHyphens/>
        <w:spacing w:line="360" w:lineRule="auto"/>
        <w:ind w:left="284"/>
        <w:jc w:val="both"/>
        <w:rPr>
          <w:rFonts w:ascii="Arial" w:eastAsia="Arial Unicode MS" w:hAnsi="Arial" w:cs="Arial"/>
          <w:bCs/>
          <w:lang w:eastAsia="en-PH"/>
        </w:rPr>
      </w:pPr>
    </w:p>
    <w:p w:rsidR="00CF1A93" w:rsidRPr="00CF1A93" w:rsidRDefault="00CF1A93" w:rsidP="00CF1A93">
      <w:pPr>
        <w:widowControl w:val="0"/>
        <w:suppressAutoHyphens/>
        <w:spacing w:line="360" w:lineRule="auto"/>
        <w:ind w:left="284"/>
        <w:jc w:val="both"/>
        <w:rPr>
          <w:rFonts w:ascii="Arial" w:eastAsia="Arial Unicode MS" w:hAnsi="Arial" w:cs="Arial"/>
          <w:bCs/>
          <w:lang w:eastAsia="en-PH"/>
        </w:rPr>
      </w:pPr>
    </w:p>
    <w:p w:rsidR="009231AB" w:rsidRPr="009231AB" w:rsidRDefault="003200F9" w:rsidP="00CF1A93">
      <w:pPr>
        <w:pStyle w:val="ListParagraph"/>
        <w:widowControl w:val="0"/>
        <w:suppressAutoHyphens/>
        <w:spacing w:line="360" w:lineRule="auto"/>
        <w:ind w:left="644"/>
        <w:jc w:val="both"/>
        <w:rPr>
          <w:rFonts w:ascii="Arial" w:eastAsia="Arial Unicode MS" w:hAnsi="Arial" w:cs="Arial"/>
          <w:bCs/>
          <w:lang w:eastAsia="en-PH"/>
        </w:rPr>
      </w:pPr>
      <w:r>
        <w:rPr>
          <w:rFonts w:ascii="Arial" w:eastAsia="Arial Unicode MS" w:hAnsi="Arial" w:cs="Arial"/>
          <w:bCs/>
          <w:lang w:eastAsia="en-PH"/>
        </w:rPr>
        <w:lastRenderedPageBreak/>
        <w:t>Eskom is, however, committed to both improving the performance of the Generation fleet and introducing additional capacity, comprising both renewable and low carbo technologies, in order to assist the DMRE with guaranteeing adequate capacity to meet the electricity demands of the nation.</w:t>
      </w:r>
    </w:p>
    <w:p w:rsidR="00925744" w:rsidRDefault="00925744" w:rsidP="00837E6B">
      <w:pPr>
        <w:widowControl w:val="0"/>
        <w:suppressAutoHyphens/>
        <w:spacing w:line="360" w:lineRule="auto"/>
        <w:ind w:left="993" w:hanging="709"/>
        <w:jc w:val="both"/>
        <w:rPr>
          <w:rFonts w:ascii="Arial" w:eastAsia="Arial Unicode MS" w:hAnsi="Arial" w:cs="Arial"/>
          <w:bCs/>
          <w:lang w:eastAsia="en-PH"/>
        </w:rPr>
      </w:pPr>
    </w:p>
    <w:p w:rsidR="00925744" w:rsidRDefault="00925744" w:rsidP="00837E6B">
      <w:pPr>
        <w:widowControl w:val="0"/>
        <w:suppressAutoHyphens/>
        <w:spacing w:line="360" w:lineRule="auto"/>
        <w:ind w:left="993" w:hanging="709"/>
        <w:jc w:val="both"/>
        <w:rPr>
          <w:rFonts w:ascii="Arial" w:eastAsia="Arial Unicode MS" w:hAnsi="Arial" w:cs="Arial"/>
          <w:bCs/>
          <w:lang w:eastAsia="en-PH"/>
        </w:rPr>
      </w:pPr>
    </w:p>
    <w:p w:rsidR="00925744" w:rsidRDefault="00925744" w:rsidP="00837E6B">
      <w:pPr>
        <w:widowControl w:val="0"/>
        <w:suppressAutoHyphens/>
        <w:spacing w:line="360" w:lineRule="auto"/>
        <w:ind w:left="993" w:hanging="709"/>
        <w:jc w:val="both"/>
        <w:rPr>
          <w:rFonts w:ascii="Arial" w:eastAsia="Arial Unicode MS" w:hAnsi="Arial" w:cs="Arial"/>
          <w:bCs/>
          <w:lang w:eastAsia="en-PH"/>
        </w:rPr>
      </w:pPr>
    </w:p>
    <w:p w:rsidR="00925744" w:rsidRPr="00925744" w:rsidRDefault="00925744" w:rsidP="00925744">
      <w:pPr>
        <w:widowControl w:val="0"/>
        <w:suppressAutoHyphens/>
        <w:spacing w:line="360" w:lineRule="auto"/>
        <w:jc w:val="both"/>
        <w:rPr>
          <w:rFonts w:ascii="Arial" w:eastAsia="Arial Unicode MS" w:hAnsi="Arial" w:cs="Arial"/>
          <w:bCs/>
          <w:lang w:eastAsia="en-PH"/>
        </w:rPr>
      </w:pP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w:t>
      </w:r>
    </w:p>
    <w:sectPr w:rsidR="00011280"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97" w:rsidRDefault="00F36997" w:rsidP="006A43DE">
      <w:r>
        <w:separator/>
      </w:r>
    </w:p>
  </w:endnote>
  <w:endnote w:type="continuationSeparator" w:id="0">
    <w:p w:rsidR="00F36997" w:rsidRDefault="00F36997"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97" w:rsidRDefault="00F36997" w:rsidP="006A43DE">
      <w:r>
        <w:separator/>
      </w:r>
    </w:p>
  </w:footnote>
  <w:footnote w:type="continuationSeparator" w:id="0">
    <w:p w:rsidR="00F36997" w:rsidRDefault="00F36997"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EA6972"/>
    <w:multiLevelType w:val="hybridMultilevel"/>
    <w:tmpl w:val="FFD08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8A1889"/>
    <w:multiLevelType w:val="hybridMultilevel"/>
    <w:tmpl w:val="3222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0424D"/>
    <w:multiLevelType w:val="hybridMultilevel"/>
    <w:tmpl w:val="710E96D2"/>
    <w:lvl w:ilvl="0" w:tplc="FD5A175C">
      <w:start w:val="1"/>
      <w:numFmt w:val="lowerLetter"/>
      <w:lvlText w:val="(%1)"/>
      <w:lvlJc w:val="left"/>
      <w:pPr>
        <w:ind w:left="630" w:hanging="360"/>
      </w:pPr>
      <w:rPr>
        <w:rFonts w:cs="Arial"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8">
    <w:nsid w:val="1CA06F3E"/>
    <w:multiLevelType w:val="hybridMultilevel"/>
    <w:tmpl w:val="DB5CDC02"/>
    <w:lvl w:ilvl="0" w:tplc="0AA4954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9">
    <w:nsid w:val="1DFE5839"/>
    <w:multiLevelType w:val="hybridMultilevel"/>
    <w:tmpl w:val="CF6E61A4"/>
    <w:lvl w:ilvl="0" w:tplc="9756340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12">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3">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5">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3B8227B7"/>
    <w:multiLevelType w:val="hybridMultilevel"/>
    <w:tmpl w:val="B46AEC12"/>
    <w:lvl w:ilvl="0" w:tplc="FCDE6B14">
      <w:start w:val="1"/>
      <w:numFmt w:val="lowerLetter"/>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0">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1">
    <w:nsid w:val="41B159E5"/>
    <w:multiLevelType w:val="hybridMultilevel"/>
    <w:tmpl w:val="F94C7E52"/>
    <w:lvl w:ilvl="0" w:tplc="2A08B9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3">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26">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8">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9">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1">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3">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38">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40">
    <w:nsid w:val="6A464137"/>
    <w:multiLevelType w:val="hybridMultilevel"/>
    <w:tmpl w:val="62BE849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F0556A6"/>
    <w:multiLevelType w:val="hybridMultilevel"/>
    <w:tmpl w:val="96DC12D0"/>
    <w:lvl w:ilvl="0" w:tplc="B6E850A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2">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120C10"/>
    <w:multiLevelType w:val="hybridMultilevel"/>
    <w:tmpl w:val="CCDCCF0A"/>
    <w:lvl w:ilvl="0" w:tplc="D750B75C">
      <w:start w:val="1"/>
      <w:numFmt w:val="decimal"/>
      <w:lvlText w:val="(%1)"/>
      <w:lvlJc w:val="left"/>
      <w:pPr>
        <w:ind w:left="644" w:hanging="360"/>
      </w:pPr>
      <w:rPr>
        <w:rFonts w:hint="default"/>
        <w:b w:val="0"/>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4">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8"/>
  </w:num>
  <w:num w:numId="3">
    <w:abstractNumId w:val="22"/>
  </w:num>
  <w:num w:numId="4">
    <w:abstractNumId w:val="31"/>
  </w:num>
  <w:num w:numId="5">
    <w:abstractNumId w:val="32"/>
  </w:num>
  <w:num w:numId="6">
    <w:abstractNumId w:val="1"/>
  </w:num>
  <w:num w:numId="7">
    <w:abstractNumId w:val="28"/>
  </w:num>
  <w:num w:numId="8">
    <w:abstractNumId w:val="30"/>
  </w:num>
  <w:num w:numId="9">
    <w:abstractNumId w:val="14"/>
  </w:num>
  <w:num w:numId="10">
    <w:abstractNumId w:val="17"/>
  </w:num>
  <w:num w:numId="11">
    <w:abstractNumId w:val="19"/>
  </w:num>
  <w:num w:numId="12">
    <w:abstractNumId w:val="27"/>
  </w:num>
  <w:num w:numId="13">
    <w:abstractNumId w:val="36"/>
  </w:num>
  <w:num w:numId="14">
    <w:abstractNumId w:val="29"/>
  </w:num>
  <w:num w:numId="15">
    <w:abstractNumId w:val="25"/>
  </w:num>
  <w:num w:numId="16">
    <w:abstractNumId w:val="15"/>
  </w:num>
  <w:num w:numId="17">
    <w:abstractNumId w:val="39"/>
  </w:num>
  <w:num w:numId="18">
    <w:abstractNumId w:val="2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6"/>
  </w:num>
  <w:num w:numId="22">
    <w:abstractNumId w:val="11"/>
  </w:num>
  <w:num w:numId="23">
    <w:abstractNumId w:val="5"/>
  </w:num>
  <w:num w:numId="24">
    <w:abstractNumId w:val="23"/>
  </w:num>
  <w:num w:numId="25">
    <w:abstractNumId w:val="10"/>
  </w:num>
  <w:num w:numId="26">
    <w:abstractNumId w:val="13"/>
  </w:num>
  <w:num w:numId="27">
    <w:abstractNumId w:val="0"/>
  </w:num>
  <w:num w:numId="28">
    <w:abstractNumId w:val="33"/>
  </w:num>
  <w:num w:numId="29">
    <w:abstractNumId w:val="42"/>
  </w:num>
  <w:num w:numId="30">
    <w:abstractNumId w:val="12"/>
  </w:num>
  <w:num w:numId="31">
    <w:abstractNumId w:val="44"/>
  </w:num>
  <w:num w:numId="32">
    <w:abstractNumId w:val="26"/>
  </w:num>
  <w:num w:numId="33">
    <w:abstractNumId w:val="34"/>
  </w:num>
  <w:num w:numId="34">
    <w:abstractNumId w:val="2"/>
  </w:num>
  <w:num w:numId="35">
    <w:abstractNumId w:val="6"/>
  </w:num>
  <w:num w:numId="36">
    <w:abstractNumId w:val="3"/>
  </w:num>
  <w:num w:numId="37">
    <w:abstractNumId w:val="18"/>
  </w:num>
  <w:num w:numId="38">
    <w:abstractNumId w:val="7"/>
  </w:num>
  <w:num w:numId="39">
    <w:abstractNumId w:val="43"/>
  </w:num>
  <w:num w:numId="40">
    <w:abstractNumId w:val="4"/>
  </w:num>
  <w:num w:numId="41">
    <w:abstractNumId w:val="40"/>
  </w:num>
  <w:num w:numId="42">
    <w:abstractNumId w:val="21"/>
  </w:num>
  <w:num w:numId="43">
    <w:abstractNumId w:val="9"/>
  </w:num>
  <w:num w:numId="44">
    <w:abstractNumId w:val="8"/>
  </w:num>
  <w:num w:numId="45">
    <w:abstractNumId w:val="4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7CD7"/>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29"/>
    <w:rsid w:val="00192EAB"/>
    <w:rsid w:val="001961F0"/>
    <w:rsid w:val="001B13C2"/>
    <w:rsid w:val="001C647A"/>
    <w:rsid w:val="001D28C7"/>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0387"/>
    <w:rsid w:val="002F1297"/>
    <w:rsid w:val="002F5F24"/>
    <w:rsid w:val="003042F7"/>
    <w:rsid w:val="00307D62"/>
    <w:rsid w:val="003200F9"/>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0F34"/>
    <w:rsid w:val="003D13D8"/>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07E5"/>
    <w:rsid w:val="004653BA"/>
    <w:rsid w:val="0047791E"/>
    <w:rsid w:val="00483D87"/>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B2A1A"/>
    <w:rsid w:val="005C2884"/>
    <w:rsid w:val="005C28EA"/>
    <w:rsid w:val="005C408E"/>
    <w:rsid w:val="005D1885"/>
    <w:rsid w:val="005D4F0C"/>
    <w:rsid w:val="00601570"/>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2F5B"/>
    <w:rsid w:val="006D3B92"/>
    <w:rsid w:val="006D650A"/>
    <w:rsid w:val="006E226F"/>
    <w:rsid w:val="006E28F9"/>
    <w:rsid w:val="006F5FEE"/>
    <w:rsid w:val="00703DCA"/>
    <w:rsid w:val="00711E1F"/>
    <w:rsid w:val="00716A5F"/>
    <w:rsid w:val="007173B7"/>
    <w:rsid w:val="00735AB2"/>
    <w:rsid w:val="007410D8"/>
    <w:rsid w:val="00741768"/>
    <w:rsid w:val="00753188"/>
    <w:rsid w:val="00761EBB"/>
    <w:rsid w:val="00763854"/>
    <w:rsid w:val="00766B05"/>
    <w:rsid w:val="00767C12"/>
    <w:rsid w:val="00772932"/>
    <w:rsid w:val="00773B34"/>
    <w:rsid w:val="00780828"/>
    <w:rsid w:val="00782018"/>
    <w:rsid w:val="007840BD"/>
    <w:rsid w:val="00784B7D"/>
    <w:rsid w:val="00793BF5"/>
    <w:rsid w:val="007A0FE4"/>
    <w:rsid w:val="007A77D7"/>
    <w:rsid w:val="007B1C58"/>
    <w:rsid w:val="007B2942"/>
    <w:rsid w:val="007C424F"/>
    <w:rsid w:val="007C43A8"/>
    <w:rsid w:val="007C48D9"/>
    <w:rsid w:val="007F0BBB"/>
    <w:rsid w:val="007F26A6"/>
    <w:rsid w:val="007F2BDB"/>
    <w:rsid w:val="00817F1E"/>
    <w:rsid w:val="00824E8E"/>
    <w:rsid w:val="00837E6B"/>
    <w:rsid w:val="00853D65"/>
    <w:rsid w:val="00887188"/>
    <w:rsid w:val="0089120C"/>
    <w:rsid w:val="00892DE3"/>
    <w:rsid w:val="00892DFB"/>
    <w:rsid w:val="008960B2"/>
    <w:rsid w:val="008960DE"/>
    <w:rsid w:val="008968F5"/>
    <w:rsid w:val="008A5641"/>
    <w:rsid w:val="008A64C8"/>
    <w:rsid w:val="008B50CB"/>
    <w:rsid w:val="008B5545"/>
    <w:rsid w:val="008C128F"/>
    <w:rsid w:val="008C3840"/>
    <w:rsid w:val="008C4B6D"/>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31AB"/>
    <w:rsid w:val="00923553"/>
    <w:rsid w:val="0092574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93"/>
    <w:rsid w:val="00CF1AE8"/>
    <w:rsid w:val="00CF2CE3"/>
    <w:rsid w:val="00D25359"/>
    <w:rsid w:val="00D31EBA"/>
    <w:rsid w:val="00D35090"/>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36997"/>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DE"/>
    <w:rPr>
      <w:sz w:val="24"/>
      <w:szCs w:val="24"/>
    </w:rPr>
  </w:style>
  <w:style w:type="paragraph" w:styleId="Heading1">
    <w:name w:val="heading 1"/>
    <w:basedOn w:val="Normal"/>
    <w:next w:val="Normal"/>
    <w:qFormat/>
    <w:rsid w:val="008960DE"/>
    <w:pPr>
      <w:keepNext/>
      <w:spacing w:line="312" w:lineRule="auto"/>
      <w:ind w:left="540"/>
      <w:outlineLvl w:val="0"/>
    </w:pPr>
    <w:rPr>
      <w:rFonts w:ascii="Arial" w:hAnsi="Arial" w:cs="Arial"/>
      <w:b/>
      <w:bCs/>
    </w:rPr>
  </w:style>
  <w:style w:type="paragraph" w:styleId="Heading2">
    <w:name w:val="heading 2"/>
    <w:basedOn w:val="Normal"/>
    <w:next w:val="Normal"/>
    <w:qFormat/>
    <w:rsid w:val="008960DE"/>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8960DE"/>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8960DE"/>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8960DE"/>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BD4F-5A50-4E82-99CF-B45B3E7E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2106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2022-11-15T14:54:00Z</cp:lastPrinted>
  <dcterms:created xsi:type="dcterms:W3CDTF">2022-11-30T09:11:00Z</dcterms:created>
  <dcterms:modified xsi:type="dcterms:W3CDTF">2022-11-30T09:11:00Z</dcterms:modified>
</cp:coreProperties>
</file>