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E3" w:rsidRDefault="00DA6BE3">
      <w:pPr>
        <w:rPr>
          <w:sz w:val="10"/>
          <w:szCs w:val="16"/>
        </w:rPr>
      </w:pPr>
    </w:p>
    <w:p w:rsidR="00DA6BE3" w:rsidRDefault="00DA6BE3" w:rsidP="00CA2E3F">
      <w:pPr>
        <w:pBdr>
          <w:bottom w:val="single" w:sz="12" w:space="1" w:color="auto"/>
        </w:pBdr>
        <w:rPr>
          <w:b/>
        </w:rPr>
      </w:pPr>
      <w:r w:rsidRPr="00073A9B">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DA6BE3" w:rsidRDefault="00DA6BE3" w:rsidP="008A7DCE">
      <w:pPr>
        <w:pStyle w:val="Title"/>
        <w:rPr>
          <w:rFonts w:cs="Arial"/>
          <w:szCs w:val="22"/>
          <w:lang w:val="en-GB"/>
        </w:rPr>
      </w:pPr>
    </w:p>
    <w:p w:rsidR="00DA6BE3" w:rsidRPr="0095517A" w:rsidRDefault="00DA6BE3" w:rsidP="008A7DCE">
      <w:pPr>
        <w:pStyle w:val="Title"/>
        <w:rPr>
          <w:rFonts w:cs="Arial"/>
          <w:szCs w:val="22"/>
          <w:lang w:val="en-GB"/>
        </w:rPr>
      </w:pPr>
      <w:r w:rsidRPr="0095517A">
        <w:rPr>
          <w:rFonts w:cs="Arial"/>
          <w:szCs w:val="22"/>
          <w:lang w:val="en-GB"/>
        </w:rPr>
        <w:t>NATIONAL ASSEMBLY</w:t>
      </w:r>
    </w:p>
    <w:p w:rsidR="00DA6BE3" w:rsidRPr="0095517A" w:rsidRDefault="00DA6BE3" w:rsidP="008A7DCE">
      <w:pPr>
        <w:pStyle w:val="Title"/>
        <w:jc w:val="both"/>
        <w:rPr>
          <w:rFonts w:cs="Arial"/>
          <w:szCs w:val="22"/>
          <w:lang w:val="en-GB"/>
        </w:rPr>
      </w:pPr>
    </w:p>
    <w:p w:rsidR="00DA6BE3" w:rsidRPr="0095517A" w:rsidRDefault="00DA6BE3"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DA6BE3" w:rsidRPr="0095517A" w:rsidRDefault="00DA6BE3" w:rsidP="008A7DCE">
      <w:pPr>
        <w:jc w:val="both"/>
        <w:rPr>
          <w:rFonts w:ascii="Arial" w:hAnsi="Arial" w:cs="Arial"/>
          <w:b/>
          <w:sz w:val="22"/>
          <w:szCs w:val="22"/>
          <w:u w:val="single"/>
        </w:rPr>
      </w:pPr>
    </w:p>
    <w:p w:rsidR="00DA6BE3" w:rsidRPr="0095517A" w:rsidRDefault="00DA6BE3"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428</w:t>
      </w:r>
    </w:p>
    <w:p w:rsidR="00DA6BE3" w:rsidRPr="0095517A" w:rsidRDefault="00DA6BE3" w:rsidP="008A7DCE">
      <w:pPr>
        <w:jc w:val="both"/>
        <w:rPr>
          <w:rFonts w:ascii="Arial" w:hAnsi="Arial" w:cs="Arial"/>
          <w:b/>
          <w:sz w:val="22"/>
          <w:szCs w:val="22"/>
          <w:u w:val="single"/>
        </w:rPr>
      </w:pPr>
    </w:p>
    <w:p w:rsidR="00DA6BE3" w:rsidRPr="0095517A" w:rsidRDefault="00DA6BE3"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19 FEBRUARY 2016</w:t>
      </w:r>
    </w:p>
    <w:p w:rsidR="00DA6BE3" w:rsidRPr="0095517A" w:rsidRDefault="00DA6BE3"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w:t>
      </w:r>
      <w:r w:rsidRPr="0095517A">
        <w:rPr>
          <w:rFonts w:ascii="Arial" w:hAnsi="Arial" w:cs="Arial"/>
          <w:b/>
          <w:sz w:val="22"/>
          <w:szCs w:val="22"/>
          <w:u w:val="single"/>
        </w:rPr>
        <w:t>)</w:t>
      </w:r>
    </w:p>
    <w:p w:rsidR="00DA6BE3" w:rsidRPr="00D25A6F" w:rsidRDefault="00DA6BE3" w:rsidP="00D25A6F">
      <w:pPr>
        <w:spacing w:before="100" w:beforeAutospacing="1" w:after="100" w:afterAutospacing="1"/>
        <w:ind w:left="709" w:hanging="720"/>
        <w:jc w:val="both"/>
        <w:outlineLvl w:val="0"/>
        <w:rPr>
          <w:rFonts w:ascii="Arial" w:hAnsi="Arial" w:cs="Arial"/>
          <w:b/>
          <w:sz w:val="22"/>
          <w:szCs w:val="22"/>
          <w:lang w:val="en-ZA"/>
        </w:rPr>
      </w:pPr>
      <w:r w:rsidRPr="00D25A6F">
        <w:rPr>
          <w:rFonts w:ascii="Arial" w:hAnsi="Arial" w:cs="Arial"/>
          <w:b/>
          <w:sz w:val="22"/>
          <w:szCs w:val="22"/>
          <w:lang w:val="en-ZA"/>
        </w:rPr>
        <w:t>428.</w:t>
      </w:r>
      <w:r w:rsidRPr="00D25A6F">
        <w:rPr>
          <w:rFonts w:ascii="Arial" w:hAnsi="Arial" w:cs="Arial"/>
          <w:b/>
          <w:sz w:val="22"/>
          <w:szCs w:val="22"/>
          <w:lang w:val="en-ZA"/>
        </w:rPr>
        <w:tab/>
        <w:t>Ms T E Baker (DA) to ask the Minister of Water and Sanitation:</w:t>
      </w:r>
    </w:p>
    <w:p w:rsidR="00DA6BE3" w:rsidRPr="00D25A6F" w:rsidRDefault="00DA6BE3" w:rsidP="00D25A6F">
      <w:pPr>
        <w:pStyle w:val="NormalWeb"/>
        <w:ind w:left="1440" w:hanging="720"/>
        <w:jc w:val="both"/>
        <w:rPr>
          <w:rFonts w:ascii="Arial" w:hAnsi="Arial" w:cs="Arial"/>
          <w:sz w:val="22"/>
          <w:szCs w:val="22"/>
        </w:rPr>
      </w:pPr>
      <w:r w:rsidRPr="00D25A6F">
        <w:rPr>
          <w:rFonts w:ascii="Arial" w:hAnsi="Arial" w:cs="Arial"/>
          <w:sz w:val="22"/>
          <w:szCs w:val="22"/>
        </w:rPr>
        <w:t xml:space="preserve">(1) </w:t>
      </w:r>
      <w:r w:rsidRPr="00D25A6F">
        <w:rPr>
          <w:rFonts w:ascii="Arial" w:hAnsi="Arial" w:cs="Arial"/>
          <w:sz w:val="22"/>
          <w:szCs w:val="22"/>
        </w:rPr>
        <w:tab/>
        <w:t>(a) Which towns in each province have been affected by water shortages during the period 1 June 2015 to 15 February 2016 and (b) what intervention measures were put in place by her department to assist the relevant communities with the provision of water;</w:t>
      </w:r>
    </w:p>
    <w:p w:rsidR="00DA6BE3" w:rsidRPr="00D25A6F" w:rsidRDefault="00DA6BE3" w:rsidP="00D25A6F">
      <w:pPr>
        <w:pStyle w:val="NormalWeb"/>
        <w:ind w:left="1440" w:hanging="720"/>
        <w:jc w:val="both"/>
        <w:rPr>
          <w:rFonts w:ascii="Arial" w:hAnsi="Arial" w:cs="Arial"/>
          <w:sz w:val="16"/>
          <w:szCs w:val="16"/>
        </w:rPr>
      </w:pPr>
      <w:r w:rsidRPr="00D25A6F">
        <w:rPr>
          <w:rFonts w:ascii="Arial" w:hAnsi="Arial" w:cs="Arial"/>
          <w:sz w:val="22"/>
          <w:szCs w:val="22"/>
        </w:rPr>
        <w:t>(2)</w:t>
      </w:r>
      <w:r w:rsidRPr="00D25A6F">
        <w:rPr>
          <w:rFonts w:ascii="Arial" w:hAnsi="Arial" w:cs="Arial"/>
          <w:sz w:val="22"/>
          <w:szCs w:val="22"/>
        </w:rPr>
        <w:tab/>
        <w:t>(a) which dams in each province ran dry during the period 1 June 2015 to 15 February 2016, (b) which towns and/or communities were affected and (c) what is the current status of each dam?</w:t>
      </w:r>
      <w:r w:rsidRPr="00D25A6F">
        <w:rPr>
          <w:rFonts w:ascii="Arial" w:hAnsi="Arial" w:cs="Arial"/>
          <w:sz w:val="22"/>
          <w:szCs w:val="22"/>
        </w:rPr>
        <w:tab/>
      </w:r>
      <w:r w:rsidRPr="00D25A6F">
        <w:rPr>
          <w:rFonts w:ascii="Arial" w:hAnsi="Arial" w:cs="Arial"/>
          <w:sz w:val="22"/>
          <w:szCs w:val="22"/>
        </w:rPr>
        <w:tab/>
      </w:r>
      <w:r w:rsidRPr="00D25A6F">
        <w:rPr>
          <w:rFonts w:ascii="Arial" w:hAnsi="Arial" w:cs="Arial"/>
          <w:sz w:val="22"/>
          <w:szCs w:val="22"/>
        </w:rPr>
        <w:tab/>
      </w:r>
      <w:r w:rsidRPr="00D25A6F">
        <w:rPr>
          <w:rFonts w:ascii="Arial" w:hAnsi="Arial" w:cs="Arial"/>
          <w:sz w:val="22"/>
          <w:szCs w:val="22"/>
        </w:rPr>
        <w:tab/>
      </w:r>
      <w:r>
        <w:rPr>
          <w:rFonts w:ascii="Arial" w:hAnsi="Arial" w:cs="Arial"/>
          <w:sz w:val="22"/>
          <w:szCs w:val="22"/>
        </w:rPr>
        <w:tab/>
      </w:r>
      <w:r>
        <w:rPr>
          <w:rFonts w:ascii="Arial" w:hAnsi="Arial" w:cs="Arial"/>
          <w:sz w:val="22"/>
          <w:szCs w:val="22"/>
        </w:rPr>
        <w:tab/>
      </w:r>
      <w:r w:rsidRPr="00D25A6F">
        <w:rPr>
          <w:rFonts w:ascii="Arial" w:hAnsi="Arial" w:cs="Arial"/>
          <w:sz w:val="16"/>
          <w:szCs w:val="16"/>
        </w:rPr>
        <w:t>NW441E</w:t>
      </w:r>
    </w:p>
    <w:p w:rsidR="00DA6BE3" w:rsidRPr="00CC596F" w:rsidRDefault="00DA6BE3" w:rsidP="00711529">
      <w:pPr>
        <w:jc w:val="center"/>
        <w:rPr>
          <w:rFonts w:ascii="Arial" w:hAnsi="Arial" w:cs="Arial"/>
          <w:sz w:val="22"/>
          <w:szCs w:val="22"/>
        </w:rPr>
      </w:pPr>
      <w:r w:rsidRPr="00CC596F">
        <w:rPr>
          <w:rFonts w:ascii="Arial" w:hAnsi="Arial" w:cs="Arial"/>
          <w:sz w:val="22"/>
          <w:szCs w:val="22"/>
        </w:rPr>
        <w:t>---00O00---</w:t>
      </w:r>
    </w:p>
    <w:p w:rsidR="00DA6BE3" w:rsidRDefault="00DA6BE3"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DA6BE3" w:rsidRPr="009B1473" w:rsidRDefault="00DA6BE3"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DA6BE3" w:rsidRDefault="00DA6BE3" w:rsidP="00F85770">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Refer to </w:t>
      </w:r>
      <w:r w:rsidRPr="00AB3ABC">
        <w:rPr>
          <w:rFonts w:ascii="Arial" w:hAnsi="Arial" w:cs="Arial"/>
          <w:b/>
          <w:sz w:val="22"/>
          <w:szCs w:val="22"/>
        </w:rPr>
        <w:t>Table 1</w:t>
      </w:r>
      <w:r>
        <w:rPr>
          <w:rFonts w:ascii="Arial" w:hAnsi="Arial" w:cs="Arial"/>
          <w:sz w:val="22"/>
          <w:szCs w:val="22"/>
        </w:rPr>
        <w:t xml:space="preserve"> below for t</w:t>
      </w:r>
      <w:r w:rsidRPr="00D25A6F">
        <w:rPr>
          <w:rFonts w:ascii="Arial" w:hAnsi="Arial" w:cs="Arial"/>
          <w:sz w:val="22"/>
          <w:szCs w:val="22"/>
        </w:rPr>
        <w:t>owns in each province affected by water shortages</w:t>
      </w:r>
      <w:r>
        <w:rPr>
          <w:rFonts w:ascii="Arial" w:hAnsi="Arial" w:cs="Arial"/>
          <w:sz w:val="22"/>
          <w:szCs w:val="22"/>
        </w:rPr>
        <w:t xml:space="preserve"> and intervention measures.</w:t>
      </w:r>
    </w:p>
    <w:p w:rsidR="00DA6BE3" w:rsidRDefault="00DA6BE3" w:rsidP="00F85770">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Refer to </w:t>
      </w:r>
      <w:r w:rsidRPr="00AB3ABC">
        <w:rPr>
          <w:rFonts w:ascii="Arial" w:hAnsi="Arial" w:cs="Arial"/>
          <w:b/>
          <w:sz w:val="22"/>
          <w:szCs w:val="22"/>
        </w:rPr>
        <w:t>Table 2</w:t>
      </w:r>
      <w:r>
        <w:rPr>
          <w:rFonts w:ascii="Arial" w:hAnsi="Arial" w:cs="Arial"/>
          <w:sz w:val="22"/>
          <w:szCs w:val="22"/>
        </w:rPr>
        <w:t xml:space="preserve"> below for </w:t>
      </w:r>
      <w:r w:rsidRPr="00F87AA1">
        <w:rPr>
          <w:rFonts w:ascii="Arial" w:hAnsi="Arial" w:cs="Arial"/>
          <w:sz w:val="22"/>
          <w:szCs w:val="22"/>
        </w:rPr>
        <w:t>the</w:t>
      </w:r>
      <w:r w:rsidRPr="009A5AEC">
        <w:rPr>
          <w:rFonts w:ascii="Arial" w:hAnsi="Arial" w:cs="Arial"/>
          <w:sz w:val="22"/>
          <w:szCs w:val="22"/>
        </w:rPr>
        <w:t xml:space="preserve"> dams in each province which ran dry during the period 1 June 2015 to 15 February 2016</w:t>
      </w:r>
      <w:r>
        <w:rPr>
          <w:rFonts w:ascii="Arial" w:hAnsi="Arial" w:cs="Arial"/>
          <w:sz w:val="22"/>
          <w:szCs w:val="22"/>
        </w:rPr>
        <w:t>,</w:t>
      </w:r>
      <w:r w:rsidRPr="009A5AEC">
        <w:rPr>
          <w:rFonts w:ascii="Arial" w:hAnsi="Arial" w:cs="Arial"/>
          <w:sz w:val="22"/>
          <w:szCs w:val="22"/>
        </w:rPr>
        <w:t xml:space="preserve"> the affected communities and the current status of each dam. </w:t>
      </w:r>
    </w:p>
    <w:p w:rsidR="00DA6BE3" w:rsidRPr="00CC596F" w:rsidRDefault="00DA6BE3" w:rsidP="00AB3ABC">
      <w:pPr>
        <w:jc w:val="center"/>
        <w:rPr>
          <w:rFonts w:ascii="Arial" w:hAnsi="Arial" w:cs="Arial"/>
          <w:sz w:val="22"/>
          <w:szCs w:val="22"/>
        </w:rPr>
      </w:pPr>
      <w:r w:rsidRPr="00CC596F">
        <w:rPr>
          <w:rFonts w:ascii="Arial" w:hAnsi="Arial" w:cs="Arial"/>
          <w:sz w:val="22"/>
          <w:szCs w:val="22"/>
        </w:rPr>
        <w:t>---00O00---</w:t>
      </w:r>
    </w:p>
    <w:p w:rsidR="00DA6BE3" w:rsidRDefault="00DA6BE3" w:rsidP="00F85770">
      <w:pPr>
        <w:tabs>
          <w:tab w:val="left" w:pos="720"/>
          <w:tab w:val="left" w:pos="1440"/>
          <w:tab w:val="left" w:pos="3180"/>
        </w:tabs>
        <w:spacing w:before="100" w:beforeAutospacing="1" w:after="100" w:afterAutospacing="1"/>
        <w:ind w:left="1440" w:hanging="720"/>
        <w:jc w:val="both"/>
        <w:rPr>
          <w:rFonts w:ascii="Arial" w:hAnsi="Arial" w:cs="Arial"/>
          <w:sz w:val="22"/>
          <w:szCs w:val="22"/>
        </w:rPr>
      </w:pPr>
    </w:p>
    <w:p w:rsidR="00DA6BE3" w:rsidRDefault="00DA6BE3" w:rsidP="00F85770">
      <w:pPr>
        <w:tabs>
          <w:tab w:val="left" w:pos="720"/>
          <w:tab w:val="left" w:pos="1440"/>
          <w:tab w:val="left" w:pos="3180"/>
        </w:tabs>
        <w:spacing w:before="100" w:beforeAutospacing="1" w:after="100" w:afterAutospacing="1"/>
        <w:ind w:left="1440" w:hanging="720"/>
        <w:jc w:val="both"/>
        <w:rPr>
          <w:rFonts w:ascii="Arial" w:hAnsi="Arial" w:cs="Arial"/>
          <w:sz w:val="22"/>
          <w:szCs w:val="22"/>
        </w:rPr>
      </w:pPr>
    </w:p>
    <w:p w:rsidR="00DA6BE3" w:rsidRDefault="00DA6BE3" w:rsidP="00F85770">
      <w:pPr>
        <w:tabs>
          <w:tab w:val="left" w:pos="720"/>
          <w:tab w:val="left" w:pos="1440"/>
          <w:tab w:val="left" w:pos="3180"/>
        </w:tabs>
        <w:spacing w:before="100" w:beforeAutospacing="1" w:after="100" w:afterAutospacing="1"/>
        <w:ind w:left="1440" w:hanging="720"/>
        <w:jc w:val="both"/>
        <w:rPr>
          <w:rFonts w:ascii="Arial" w:hAnsi="Arial" w:cs="Arial"/>
          <w:sz w:val="22"/>
          <w:szCs w:val="22"/>
        </w:rPr>
      </w:pPr>
    </w:p>
    <w:p w:rsidR="00DA6BE3" w:rsidRDefault="00DA6BE3" w:rsidP="00F85770">
      <w:pPr>
        <w:tabs>
          <w:tab w:val="left" w:pos="720"/>
          <w:tab w:val="left" w:pos="1440"/>
          <w:tab w:val="left" w:pos="3180"/>
        </w:tabs>
        <w:spacing w:before="100" w:beforeAutospacing="1" w:after="100" w:afterAutospacing="1"/>
        <w:ind w:left="1440" w:hanging="720"/>
        <w:jc w:val="both"/>
        <w:rPr>
          <w:rFonts w:ascii="Arial" w:hAnsi="Arial" w:cs="Arial"/>
          <w:sz w:val="22"/>
          <w:szCs w:val="22"/>
        </w:rPr>
        <w:sectPr w:rsidR="00DA6BE3" w:rsidSect="0045778C">
          <w:headerReference w:type="even" r:id="rId8"/>
          <w:footerReference w:type="default" r:id="rId9"/>
          <w:headerReference w:type="first" r:id="rId10"/>
          <w:footerReference w:type="first" r:id="rId11"/>
          <w:pgSz w:w="11906" w:h="16838"/>
          <w:pgMar w:top="539" w:right="1134" w:bottom="539" w:left="1077" w:header="709" w:footer="709" w:gutter="0"/>
          <w:cols w:space="720"/>
          <w:titlePg/>
          <w:docGrid w:linePitch="360"/>
        </w:sectPr>
      </w:pPr>
    </w:p>
    <w:p w:rsidR="00DA6BE3" w:rsidRDefault="00DA6BE3" w:rsidP="00F85770">
      <w:pPr>
        <w:tabs>
          <w:tab w:val="left" w:pos="720"/>
          <w:tab w:val="left" w:pos="1440"/>
          <w:tab w:val="left" w:pos="3180"/>
        </w:tabs>
        <w:spacing w:before="100" w:beforeAutospacing="1" w:after="100" w:afterAutospacing="1"/>
        <w:ind w:left="1440" w:hanging="720"/>
        <w:jc w:val="both"/>
        <w:rPr>
          <w:rFonts w:ascii="Arial" w:hAnsi="Arial" w:cs="Arial"/>
          <w:sz w:val="22"/>
          <w:szCs w:val="22"/>
        </w:rPr>
      </w:pPr>
    </w:p>
    <w:p w:rsidR="00DA6BE3" w:rsidRDefault="00DA6BE3" w:rsidP="00F85770">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Table1. T</w:t>
      </w:r>
      <w:r w:rsidRPr="00D25A6F">
        <w:rPr>
          <w:rFonts w:ascii="Arial" w:hAnsi="Arial" w:cs="Arial"/>
          <w:sz w:val="22"/>
          <w:szCs w:val="22"/>
        </w:rPr>
        <w:t>owns in each province affected by water shortages</w:t>
      </w:r>
      <w:r>
        <w:rPr>
          <w:rFonts w:ascii="Arial" w:hAnsi="Arial" w:cs="Arial"/>
          <w:sz w:val="22"/>
          <w:szCs w:val="22"/>
        </w:rPr>
        <w:t xml:space="preserve"> and intervention measures</w:t>
      </w:r>
    </w:p>
    <w:tbl>
      <w:tblPr>
        <w:tblW w:w="0" w:type="auto"/>
        <w:tblInd w:w="5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57" w:type="dxa"/>
          <w:bottom w:w="57" w:type="dxa"/>
        </w:tblCellMar>
        <w:tblLook w:val="00A0"/>
      </w:tblPr>
      <w:tblGrid>
        <w:gridCol w:w="2551"/>
        <w:gridCol w:w="6095"/>
        <w:gridCol w:w="5954"/>
      </w:tblGrid>
      <w:tr w:rsidR="00DA6BE3" w:rsidRPr="003E2926" w:rsidTr="00073A9B">
        <w:trPr>
          <w:tblHeader/>
        </w:trPr>
        <w:tc>
          <w:tcPr>
            <w:tcW w:w="2551" w:type="dxa"/>
            <w:tcBorders>
              <w:top w:val="single" w:sz="18" w:space="0" w:color="auto"/>
              <w:bottom w:val="single" w:sz="12" w:space="0" w:color="auto"/>
            </w:tcBorders>
            <w:shd w:val="clear" w:color="auto" w:fill="BFBFBF"/>
          </w:tcPr>
          <w:p w:rsidR="00DA6BE3" w:rsidRPr="00073A9B" w:rsidRDefault="00DA6BE3" w:rsidP="00073A9B">
            <w:pPr>
              <w:tabs>
                <w:tab w:val="left" w:pos="720"/>
                <w:tab w:val="left" w:pos="1440"/>
                <w:tab w:val="left" w:pos="3180"/>
              </w:tabs>
              <w:spacing w:before="100" w:beforeAutospacing="1" w:after="100" w:afterAutospacing="1"/>
              <w:jc w:val="center"/>
              <w:rPr>
                <w:rFonts w:ascii="Arial" w:hAnsi="Arial" w:cs="Arial"/>
                <w:b/>
                <w:sz w:val="20"/>
                <w:szCs w:val="20"/>
              </w:rPr>
            </w:pPr>
            <w:r w:rsidRPr="00073A9B">
              <w:rPr>
                <w:rFonts w:ascii="Arial" w:hAnsi="Arial" w:cs="Arial"/>
                <w:b/>
                <w:sz w:val="20"/>
                <w:szCs w:val="20"/>
              </w:rPr>
              <w:t>Province</w:t>
            </w:r>
          </w:p>
        </w:tc>
        <w:tc>
          <w:tcPr>
            <w:tcW w:w="6095" w:type="dxa"/>
            <w:tcBorders>
              <w:top w:val="single" w:sz="18" w:space="0" w:color="auto"/>
              <w:bottom w:val="single" w:sz="12" w:space="0" w:color="auto"/>
            </w:tcBorders>
            <w:shd w:val="clear" w:color="auto" w:fill="BFBFBF"/>
          </w:tcPr>
          <w:p w:rsidR="00DA6BE3" w:rsidRPr="00073A9B" w:rsidRDefault="00DA6BE3" w:rsidP="00073A9B">
            <w:pPr>
              <w:tabs>
                <w:tab w:val="left" w:pos="720"/>
                <w:tab w:val="left" w:pos="1440"/>
                <w:tab w:val="left" w:pos="3180"/>
              </w:tabs>
              <w:spacing w:before="100" w:beforeAutospacing="1" w:after="100" w:afterAutospacing="1"/>
              <w:jc w:val="center"/>
              <w:rPr>
                <w:rFonts w:ascii="Arial" w:hAnsi="Arial" w:cs="Arial"/>
                <w:b/>
                <w:sz w:val="20"/>
                <w:szCs w:val="20"/>
              </w:rPr>
            </w:pPr>
            <w:r w:rsidRPr="00073A9B">
              <w:rPr>
                <w:rFonts w:ascii="Arial" w:hAnsi="Arial" w:cs="Arial"/>
                <w:b/>
                <w:sz w:val="20"/>
                <w:szCs w:val="20"/>
              </w:rPr>
              <w:t>Towns Affected</w:t>
            </w:r>
          </w:p>
        </w:tc>
        <w:tc>
          <w:tcPr>
            <w:tcW w:w="5954" w:type="dxa"/>
            <w:tcBorders>
              <w:top w:val="single" w:sz="18" w:space="0" w:color="auto"/>
              <w:bottom w:val="single" w:sz="12" w:space="0" w:color="auto"/>
            </w:tcBorders>
            <w:shd w:val="clear" w:color="auto" w:fill="BFBFBF"/>
          </w:tcPr>
          <w:p w:rsidR="00DA6BE3" w:rsidRPr="00073A9B" w:rsidRDefault="00DA6BE3" w:rsidP="00073A9B">
            <w:pPr>
              <w:tabs>
                <w:tab w:val="left" w:pos="720"/>
                <w:tab w:val="left" w:pos="1440"/>
                <w:tab w:val="left" w:pos="3180"/>
              </w:tabs>
              <w:spacing w:before="100" w:beforeAutospacing="1" w:after="100" w:afterAutospacing="1"/>
              <w:jc w:val="center"/>
              <w:rPr>
                <w:rFonts w:ascii="Arial" w:hAnsi="Arial" w:cs="Arial"/>
                <w:b/>
                <w:sz w:val="20"/>
                <w:szCs w:val="20"/>
              </w:rPr>
            </w:pPr>
            <w:r w:rsidRPr="00073A9B">
              <w:rPr>
                <w:rFonts w:ascii="Arial" w:hAnsi="Arial" w:cs="Arial"/>
                <w:b/>
                <w:sz w:val="20"/>
                <w:szCs w:val="20"/>
              </w:rPr>
              <w:t>Intervention measures</w:t>
            </w:r>
          </w:p>
        </w:tc>
      </w:tr>
      <w:tr w:rsidR="00DA6BE3" w:rsidRPr="003E2926" w:rsidTr="00073A9B">
        <w:tc>
          <w:tcPr>
            <w:tcW w:w="2551" w:type="dxa"/>
            <w:tcBorders>
              <w:top w:val="single" w:sz="12" w:space="0" w:color="auto"/>
            </w:tcBorders>
          </w:tcPr>
          <w:p w:rsidR="00DA6BE3" w:rsidRPr="00073A9B" w:rsidRDefault="00DA6BE3" w:rsidP="00073A9B">
            <w:pPr>
              <w:tabs>
                <w:tab w:val="left" w:pos="720"/>
                <w:tab w:val="left" w:pos="1440"/>
                <w:tab w:val="left" w:pos="3180"/>
              </w:tabs>
              <w:spacing w:before="100" w:beforeAutospacing="1" w:after="100" w:afterAutospacing="1"/>
              <w:jc w:val="both"/>
              <w:rPr>
                <w:rFonts w:ascii="Arial" w:hAnsi="Arial" w:cs="Arial"/>
                <w:b/>
                <w:sz w:val="20"/>
                <w:szCs w:val="20"/>
              </w:rPr>
            </w:pPr>
            <w:r w:rsidRPr="00073A9B">
              <w:rPr>
                <w:rFonts w:ascii="Arial" w:hAnsi="Arial" w:cs="Arial"/>
                <w:b/>
                <w:sz w:val="20"/>
                <w:szCs w:val="20"/>
              </w:rPr>
              <w:t>Northern Cape</w:t>
            </w:r>
          </w:p>
        </w:tc>
        <w:tc>
          <w:tcPr>
            <w:tcW w:w="6095" w:type="dxa"/>
            <w:tcBorders>
              <w:top w:val="single" w:sz="12" w:space="0" w:color="auto"/>
            </w:tcBorders>
          </w:tcPr>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Philandersbron, Welkom and Groot/Klein Mier, VanWyksvlei, Bendell, Deurham, Ditshipeng, Gamorona, Gamokatedi, Gasehunelo, Ganap, Glenred, Heuningsvlei, Laxey, Kilokilo, Metsimatse Wyk 1, Klipham, Kome, Letlhakajaneng, Loopeng, Madibeng, Magojaneng, Saamsukkel, Tsiloane, Van Zylsrus, Tweed, Klein Eiffel, Eiffel, Sydney, Dealand Tsinengkop</w:t>
            </w:r>
          </w:p>
          <w:p w:rsidR="00DA6BE3" w:rsidRPr="00073A9B" w:rsidRDefault="00DA6BE3" w:rsidP="00073A9B">
            <w:pPr>
              <w:jc w:val="both"/>
              <w:rPr>
                <w:rFonts w:ascii="Arial" w:hAnsi="Arial" w:cs="Arial"/>
                <w:color w:val="000000"/>
                <w:sz w:val="20"/>
                <w:szCs w:val="20"/>
                <w:lang w:eastAsia="en-ZA"/>
              </w:rPr>
            </w:pPr>
          </w:p>
          <w:p w:rsidR="00DA6BE3" w:rsidRPr="00073A9B" w:rsidRDefault="00DA6BE3" w:rsidP="003E2926">
            <w:pPr>
              <w:rPr>
                <w:rFonts w:ascii="Arial" w:hAnsi="Arial" w:cs="Arial"/>
                <w:sz w:val="20"/>
                <w:szCs w:val="20"/>
              </w:rPr>
            </w:pPr>
            <w:r w:rsidRPr="00073A9B">
              <w:rPr>
                <w:rFonts w:ascii="Arial" w:hAnsi="Arial" w:cs="Arial"/>
                <w:color w:val="000000"/>
                <w:sz w:val="20"/>
                <w:szCs w:val="20"/>
                <w:lang w:eastAsia="en-ZA"/>
              </w:rPr>
              <w:t>Dikgatlong, Magareng, Phokwane, Maruping, Brandvlei, Loeriesfontein, Calvinia, Garies, Klipfontein, Spoegrivier, Hondeklip Bay, Eksteenfontein, Lekkersing, De Aar, Strydenburg, Blaauwskop, Warmsand, Eenduin, 7de laan, McTaggerskamp, Noudonsies and Eksteenskuil, Eilande</w:t>
            </w:r>
          </w:p>
        </w:tc>
        <w:tc>
          <w:tcPr>
            <w:tcW w:w="5954" w:type="dxa"/>
            <w:tcBorders>
              <w:top w:val="single" w:sz="12" w:space="0" w:color="auto"/>
            </w:tcBorders>
          </w:tcPr>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Rainwater harvesting tanks have been installed at present for the benefit of indigent households.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Drilling of boreholes was done as part of the bulk infrastructure program</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Refurbishing of non-functional boreholes</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Water is supplied by tankers to some of these affected communities</w:t>
            </w:r>
          </w:p>
          <w:p w:rsidR="00DA6BE3" w:rsidRPr="00073A9B" w:rsidRDefault="00DA6BE3" w:rsidP="00073A9B">
            <w:pPr>
              <w:pStyle w:val="ListParagraph"/>
              <w:tabs>
                <w:tab w:val="left" w:pos="720"/>
                <w:tab w:val="left" w:pos="1440"/>
                <w:tab w:val="left" w:pos="3180"/>
              </w:tabs>
              <w:spacing w:before="100" w:beforeAutospacing="1" w:after="100" w:afterAutospacing="1"/>
              <w:jc w:val="both"/>
              <w:rPr>
                <w:rFonts w:ascii="Arial" w:hAnsi="Arial" w:cs="Arial"/>
                <w:sz w:val="20"/>
                <w:szCs w:val="20"/>
              </w:rPr>
            </w:pPr>
          </w:p>
        </w:tc>
      </w:tr>
      <w:tr w:rsidR="00DA6BE3" w:rsidRPr="003E2926" w:rsidTr="00073A9B">
        <w:tc>
          <w:tcPr>
            <w:tcW w:w="2551" w:type="dxa"/>
          </w:tcPr>
          <w:p w:rsidR="00DA6BE3" w:rsidRPr="00073A9B" w:rsidRDefault="00DA6BE3" w:rsidP="00073A9B">
            <w:pPr>
              <w:tabs>
                <w:tab w:val="left" w:pos="720"/>
                <w:tab w:val="left" w:pos="1440"/>
                <w:tab w:val="left" w:pos="3180"/>
              </w:tabs>
              <w:spacing w:before="100" w:beforeAutospacing="1" w:after="100" w:afterAutospacing="1"/>
              <w:jc w:val="both"/>
              <w:rPr>
                <w:rFonts w:ascii="Arial" w:hAnsi="Arial" w:cs="Arial"/>
                <w:b/>
                <w:sz w:val="20"/>
                <w:szCs w:val="20"/>
              </w:rPr>
            </w:pPr>
            <w:r w:rsidRPr="00073A9B">
              <w:rPr>
                <w:rFonts w:ascii="Arial" w:hAnsi="Arial" w:cs="Arial"/>
                <w:b/>
                <w:sz w:val="20"/>
                <w:szCs w:val="20"/>
              </w:rPr>
              <w:t>Free State</w:t>
            </w:r>
          </w:p>
        </w:tc>
        <w:tc>
          <w:tcPr>
            <w:tcW w:w="6095" w:type="dxa"/>
          </w:tcPr>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Kroonstad, Viljoenskroon, Steynsrus, Brandfort, Winburg, Verkeerdevlei, Boshof, Dealsville, Bloemfonte</w:t>
            </w:r>
            <w:bookmarkStart w:id="0" w:name="_GoBack"/>
            <w:bookmarkEnd w:id="0"/>
            <w:r w:rsidRPr="00073A9B">
              <w:rPr>
                <w:rFonts w:ascii="Arial" w:hAnsi="Arial" w:cs="Arial"/>
                <w:color w:val="000000"/>
                <w:sz w:val="20"/>
                <w:szCs w:val="20"/>
                <w:lang w:eastAsia="en-ZA"/>
              </w:rPr>
              <w:t xml:space="preserve">in, ThabaNchu,  Botshabelo, Fouriesburg, Rosendal, Kestell, Qwaqwa, FicaPatso, Ladybrand, Excelsior, Tweespruit, Hobhouse, ThabaPatshoa, PetrusSteyn, Lindley, Arlington, Vrede, Memel, Ficksburg, Clocolan, Marquard, Senekal, Phillipolis, Bethulie, Springfontein, Trompsburg, Petrusburg, Smithfield, </w:t>
            </w:r>
          </w:p>
          <w:p w:rsidR="00DA6BE3" w:rsidRPr="00073A9B" w:rsidRDefault="00DA6BE3" w:rsidP="00073A9B">
            <w:pPr>
              <w:jc w:val="both"/>
              <w:rPr>
                <w:rFonts w:ascii="Arial" w:hAnsi="Arial" w:cs="Arial"/>
                <w:color w:val="000000"/>
                <w:sz w:val="20"/>
                <w:szCs w:val="20"/>
                <w:lang w:eastAsia="en-ZA"/>
              </w:rPr>
            </w:pPr>
          </w:p>
          <w:p w:rsidR="00DA6BE3" w:rsidRPr="00073A9B" w:rsidRDefault="00DA6BE3" w:rsidP="00073A9B">
            <w:pPr>
              <w:jc w:val="both"/>
              <w:rPr>
                <w:rFonts w:ascii="Arial" w:hAnsi="Arial" w:cs="Arial"/>
                <w:sz w:val="20"/>
                <w:szCs w:val="20"/>
              </w:rPr>
            </w:pPr>
            <w:r w:rsidRPr="00073A9B">
              <w:rPr>
                <w:rFonts w:ascii="Arial" w:hAnsi="Arial" w:cs="Arial"/>
                <w:color w:val="000000"/>
                <w:sz w:val="20"/>
                <w:szCs w:val="20"/>
                <w:lang w:eastAsia="en-ZA"/>
              </w:rPr>
              <w:t>Dewetsdorp, Wepener, Vanstadensrus, Bethany, Fauresmith, Jackobsdal, Koppies, Kroonstad, Oranjeville, Parys, Theunissen, Vredefort, Warden, Winburg, Zastron, Soutpan</w:t>
            </w:r>
          </w:p>
        </w:tc>
        <w:tc>
          <w:tcPr>
            <w:tcW w:w="5954" w:type="dxa"/>
          </w:tcPr>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Katse dam water released since early August 2015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Groundwater augmentation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Welbedacht dam water release in early January 2016</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Drilling of boreholes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Boreholes were equipped and connected.</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Sterkfontein water scheme project is providing water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12 DWS and municipalities’ water tankers provided to relieve water crisis</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Water released through Orange River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Restrictions gazetted for 5 dams and 1 system (3 dams)</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32 Boreholes equipped and connected.</w:t>
            </w:r>
          </w:p>
        </w:tc>
      </w:tr>
      <w:tr w:rsidR="00DA6BE3" w:rsidRPr="003E2926" w:rsidTr="00073A9B">
        <w:tc>
          <w:tcPr>
            <w:tcW w:w="2551" w:type="dxa"/>
          </w:tcPr>
          <w:p w:rsidR="00DA6BE3" w:rsidRPr="00073A9B" w:rsidRDefault="00DA6BE3" w:rsidP="00073A9B">
            <w:pPr>
              <w:tabs>
                <w:tab w:val="left" w:pos="720"/>
                <w:tab w:val="left" w:pos="1440"/>
                <w:tab w:val="left" w:pos="3180"/>
              </w:tabs>
              <w:spacing w:before="100" w:beforeAutospacing="1" w:after="100" w:afterAutospacing="1"/>
              <w:jc w:val="both"/>
              <w:rPr>
                <w:rFonts w:ascii="Arial" w:hAnsi="Arial" w:cs="Arial"/>
                <w:b/>
                <w:sz w:val="20"/>
                <w:szCs w:val="20"/>
              </w:rPr>
            </w:pPr>
            <w:r w:rsidRPr="00073A9B">
              <w:rPr>
                <w:rFonts w:ascii="Arial" w:hAnsi="Arial" w:cs="Arial"/>
                <w:b/>
                <w:sz w:val="20"/>
                <w:szCs w:val="20"/>
              </w:rPr>
              <w:t>Mpumalanga</w:t>
            </w:r>
          </w:p>
        </w:tc>
        <w:tc>
          <w:tcPr>
            <w:tcW w:w="6095" w:type="dxa"/>
            <w:vAlign w:val="center"/>
          </w:tcPr>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Mbuzini, Gomora, Magogeni, Managa, Mgobode, Dludluma, Jeppes, Reef, Schoemansdal, Buffelspruit, Driekoppies, Langeloop, Aniva, Steenbok, Louville, Hectospruit, Komatipoort, Malelane, Marloth Park, Badfontein, Draaikraal, Shaga, Boschfontein, matibidi, Moremela, Leroro, Madubula, Rainbow ZFarm, Mahiyane, KaMashayane, Silver Creek, Mtaliyane, Honeybird, Siyalima, Sheba, Paradors, Noordkaap, Mandela Place, Mlambongwane, Castlekop, Hangingstone, Goedehoop, Kamadakwa, Ndlovu, Dixie Farm, Mandela Village (Maviljan), Mamba Mencisi, GaRelani, Violet bank, Kofifi (shatale), Zoeknog A&amp; B, Benoni, Zimbabwe, Mahashe, Tsakane/Greenvalley, CottondaleIslington, Burlington, Mambumbu/Zola/Songeni, Role, Kumani, MP Stream, Hluvukani, Newington, Xanthia, Agincourt, Metsi, Ximhungwe, Kildare, Huntington, Lilydale, Belfast, Cork, Sommerset, Mashonamini, Madras, Goromane, Mkhuhlu A &amp; B, Cargo Inn, Jimbrown, Carlton, Mathibela, Alexandra, Takamahala, Oakley, Chavelagaza, Thushaneng, Cunningmore A, Cunningmore B, Morongwane, Mphenyatsatsi Township, Newforest, Sibambayana, Tsuvulani, Edinburg, Leratong/Zakheni, Kwagafontein/ Emasimini, Vreisgewaght, Kleipfontein, Suncity D, Mandela, Msholozi, Pankop/Masobe, Rakaile, Phake-Thabeng, Mametlhake, Nokaneng, Katjibane, Seabe, Greenside, Marapyane, Ramantsho, Loding, Semotlase, Malopoamogale/Kameelpoort, KwaMakola, Kgaphamadi, Wonderfontein, Tweeloop, Sycamore, Paardeplaats, Zwartkoppies, Waaikraal, Sewefontein, Groenvlei, Lothaire/Silindile, Sheepmore, Sheepmore, Warburton, Skaaprouse, Elm Tree, Biermani, Cedermont, Groenvlei, Keslek, </w:t>
            </w: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Pamietkuil, Rietvlei, Rondavel, Rooikoppies, Platokop 1, Maizefield, Uitkom, KwaMathibela, De Kuilen, Platrand, KwaMadlebe, Wolvespruit (Mkhwanazi), majojobeni, Katdoornkraal, Morakane, Mkomeni, Emnyama, Sterkfontein, Vaalvrede, Alzu borehole, Matafuleni, Tshondo, St Helena, Msinyane, Bushman band, Sgudada, Derby-ntintinyane, Derby-marondweni, Dalia, Kamavumbuka, Emakhwabeni, Haarlem, Newpitoli, Groenfontein, Mooihoek, Madola, Matsheni, Bothashope, Sunbank, Athalia, Bergplaas, KwaMagadla, KaJesus, Qalokusha, Kwarati, Aggendrift, Moolman, Alman, Congo, Vezokuhle, Berbice, Kwashuku, Esiqhintini, Ezintabeni</w:t>
            </w: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Ezimnyanma, Jikagogo, Bakenkop-Kwanyisi, Madanca, Madabukela, Kafiti, Stafford, Sihanahana, Emaswazini.</w:t>
            </w: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Elandspoort, Wolwspruit, Parmlford, KoppieAleen, Rust Hoek, Elantfontein, Odewood farm, Smooltlof, Voorseg, Ekukhanyeni, Schuihoek, Mabhondo, Brontol, </w:t>
            </w: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Rust Hoek, Thuthukani, Oodendal rust B, MinigScheilhoek, Sterkfoutein VK, Spitkop, Sckoongeseg, Wakk-sttaion, Duck in farm, Gunmwane, 51 plot, Verkerk 1, Sunspruit, Lowra farm, Elandfontein/Rooipot, Vemrky far, </w:t>
            </w: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Rooiport farm, Uitkyk farm, Goedeluk, Kaffieskraal, Kalfantein, Vleifontein, Kalfontein, Mooifontein, Rietspruit A, Goodewoop farm, Zamokuhle, Rietspruit, Welgelegen Farm, Enon farm, Emabhosi farm, Somershoek, Bethamoya, Mzwele, Kalkoenkraas, Valpoort, Fickland, Verkyk, Daggakraal, Skurwepoort, Vaalbank, Njusuthu, Syde, Nordeen, Ndonga, Mafufumbe, Mandela, Sthobile</w:t>
            </w: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Robisndale, Hartebeeskop, Emganwini, Sincobile, Redhill, Waverley, Faith Mission, Nhlaba, Ngonini, Josephdale, Khuzulwandle, Elukwatini</w:t>
            </w:r>
          </w:p>
        </w:tc>
        <w:tc>
          <w:tcPr>
            <w:tcW w:w="5954" w:type="dxa"/>
          </w:tcPr>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29 new boreholes drilled to augment surface water supply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boreholes refurbishment: 107</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91 Static tanks provided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Rehabilitation of Queens River Pump Station and SuidKaap WTW was completed and commissioned and Five (5) kilometre bulk pipeline complete linking Queens river pump station and Suidkaap Water Treatment Plant.  Construction of 2 reservoirs and drying bed in progress.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Restrcitions gazette for 6 dams (including 1 system) and being prepared for 2 more systems.</w:t>
            </w:r>
          </w:p>
          <w:p w:rsidR="00DA6BE3" w:rsidRPr="00073A9B" w:rsidRDefault="00DA6BE3" w:rsidP="00073A9B">
            <w:pPr>
              <w:pStyle w:val="ListParagraph"/>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p>
          <w:p w:rsidR="00DA6BE3" w:rsidRPr="00073A9B" w:rsidRDefault="00DA6BE3" w:rsidP="00B51F34">
            <w:pPr>
              <w:rPr>
                <w:rFonts w:ascii="Arial" w:hAnsi="Arial" w:cs="Arial"/>
                <w:color w:val="000000"/>
                <w:sz w:val="20"/>
                <w:szCs w:val="20"/>
                <w:lang w:eastAsia="en-ZA"/>
              </w:rPr>
            </w:pPr>
          </w:p>
        </w:tc>
      </w:tr>
      <w:tr w:rsidR="00DA6BE3" w:rsidRPr="003E2926" w:rsidTr="00073A9B">
        <w:tc>
          <w:tcPr>
            <w:tcW w:w="2551" w:type="dxa"/>
          </w:tcPr>
          <w:p w:rsidR="00DA6BE3" w:rsidRPr="00073A9B" w:rsidRDefault="00DA6BE3" w:rsidP="00073A9B">
            <w:pPr>
              <w:tabs>
                <w:tab w:val="left" w:pos="720"/>
                <w:tab w:val="left" w:pos="1440"/>
                <w:tab w:val="left" w:pos="3180"/>
              </w:tabs>
              <w:spacing w:before="100" w:beforeAutospacing="1" w:after="100" w:afterAutospacing="1"/>
              <w:jc w:val="both"/>
              <w:rPr>
                <w:rFonts w:ascii="Arial" w:hAnsi="Arial" w:cs="Arial"/>
                <w:b/>
                <w:sz w:val="20"/>
                <w:szCs w:val="20"/>
              </w:rPr>
            </w:pPr>
            <w:r w:rsidRPr="00073A9B">
              <w:rPr>
                <w:rFonts w:ascii="Arial" w:hAnsi="Arial" w:cs="Arial"/>
                <w:b/>
                <w:sz w:val="20"/>
                <w:szCs w:val="20"/>
              </w:rPr>
              <w:t>KwaZulu-Natal</w:t>
            </w:r>
          </w:p>
        </w:tc>
        <w:tc>
          <w:tcPr>
            <w:tcW w:w="6095" w:type="dxa"/>
            <w:vAlign w:val="center"/>
          </w:tcPr>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Durban (North), Tongaat, Balito, KwaDukuza, Mandeni, , Maphumulo, Kokstadt, Ixopo, Port Shepstone, Kelso, Pennington, Scottburgh, Sezela, Umdoni,  Harding, Hluhluwe, KwaMsane</w:t>
            </w: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Mthubathuba, St Lucia, Greytown, Melmoth, Eshowe, Vryheid, Nongoma, Ulundi,Hlabisa, Jozini, Manguzi, Ndwedwe,  Manguzi, </w:t>
            </w: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Dundee, Msinga, Nquthu, Greytown, eNhlalakahle, Sithembile</w:t>
            </w: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Emnambithi/Ladysmith, Imbabazane, Indaka, Okhahlamba, Umtshezi, Wembezi, Melmoth, Nkandla, Ntambanana, Mambuka, Dlangubo, Richardsbay, Esikhaleni, Empangeni, Ngwelezana, kwaDlangezwa, Eshowe, Vryheid, eDumbe, Obivane, Tholakele, Bellavista, Mfenyane, Nongoma, Ulundi, uPhongolo</w:t>
            </w:r>
          </w:p>
          <w:p w:rsidR="00DA6BE3" w:rsidRPr="00073A9B" w:rsidRDefault="00DA6BE3" w:rsidP="00073A9B">
            <w:pPr>
              <w:jc w:val="both"/>
              <w:rPr>
                <w:rFonts w:ascii="Arial" w:hAnsi="Arial" w:cs="Arial"/>
                <w:color w:val="000000"/>
                <w:sz w:val="20"/>
                <w:szCs w:val="20"/>
                <w:lang w:eastAsia="en-ZA"/>
              </w:rPr>
            </w:pP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Ingwe, KwaSani, Ubuhlebezwe, Umzimkhulu</w:t>
            </w:r>
          </w:p>
          <w:p w:rsidR="00DA6BE3" w:rsidRPr="00073A9B" w:rsidRDefault="00DA6BE3" w:rsidP="00073A9B">
            <w:pPr>
              <w:jc w:val="both"/>
              <w:rPr>
                <w:rFonts w:ascii="Arial" w:hAnsi="Arial" w:cs="Arial"/>
                <w:color w:val="000000"/>
                <w:sz w:val="20"/>
                <w:szCs w:val="20"/>
                <w:lang w:eastAsia="en-ZA"/>
              </w:rPr>
            </w:pPr>
            <w:r w:rsidRPr="00073A9B">
              <w:rPr>
                <w:rFonts w:ascii="Arial" w:hAnsi="Arial" w:cs="Arial"/>
                <w:color w:val="000000"/>
                <w:sz w:val="20"/>
                <w:szCs w:val="20"/>
                <w:lang w:eastAsia="en-ZA"/>
              </w:rPr>
              <w:t>Ezingoleni, Umdoni, uMuziwabantu, Umzumbe</w:t>
            </w:r>
          </w:p>
          <w:p w:rsidR="00DA6BE3" w:rsidRPr="00073A9B" w:rsidRDefault="00DA6BE3" w:rsidP="00073A9B">
            <w:pPr>
              <w:jc w:val="both"/>
              <w:rPr>
                <w:rFonts w:ascii="Arial" w:hAnsi="Arial" w:cs="Arial"/>
                <w:sz w:val="20"/>
                <w:szCs w:val="20"/>
              </w:rPr>
            </w:pPr>
            <w:r w:rsidRPr="00073A9B">
              <w:rPr>
                <w:rFonts w:ascii="Arial" w:hAnsi="Arial" w:cs="Arial"/>
                <w:color w:val="000000"/>
                <w:sz w:val="20"/>
                <w:szCs w:val="20"/>
                <w:lang w:eastAsia="en-ZA"/>
              </w:rPr>
              <w:t>Vulamehlo, Impendle, Mkhambathini, Mpofana, Richmond,  Msunduzi, uMngeni, uMshwathi, Umhlabuyalingana</w:t>
            </w:r>
          </w:p>
        </w:tc>
        <w:tc>
          <w:tcPr>
            <w:tcW w:w="5954" w:type="dxa"/>
          </w:tcPr>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The Department with the Provincial CoGTA’s Disaster Management Unit has established Joint Operating Committees to assess the options to ensure water shortages are not experienced in each supply system.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Drought operating rules have been developed for systems supplied by dams and are being implemented.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color w:val="000000"/>
                <w:sz w:val="20"/>
                <w:szCs w:val="20"/>
                <w:lang w:eastAsia="en-ZA"/>
              </w:rPr>
            </w:pPr>
            <w:r w:rsidRPr="00073A9B">
              <w:rPr>
                <w:rFonts w:ascii="Arial" w:hAnsi="Arial" w:cs="Arial"/>
                <w:color w:val="000000"/>
                <w:sz w:val="20"/>
                <w:szCs w:val="20"/>
                <w:lang w:eastAsia="en-ZA"/>
              </w:rPr>
              <w:t xml:space="preserve">Other measures include implementation of water restrictions, augmentation of supplies through boreholes and transfer systems, active leak detection and pressure management and the installation of water restrictors.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In some areas where the required water savings have not been achieved, water supplies have been limited and static tanks installed to ensure access to water</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53DWS tankers deployed, 86 new boreholes drilled, 80 springs protected.</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464 Static tanks with stands have been purchased and installed at various communal points.</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Restrictions gazette for 8 dams and 2 systems (6 dams)</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 xml:space="preserve">38 500 restrictors installed in 4 Local Municipalities. </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In Amajuba DM, water is released from Ntshingwayo Dam to support several towns.</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In iLembe DM water is transferred from uThongathi River to augment Hazelmere dam.</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Several water schemes have been repaired and many smaller repairs are being made to schemes.</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In Ugu DM, water is being transferred from Mpambanyoni River.</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In Umgungundlovu DM phase 2 of the Ophathe water supply scheme is underway.</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In Umkhanyakude DM contructionon and refurbishment of the Shemula rising main is underway, the refurbishment of the kwaMsane pipeline, a new pipeline from the existing Mtubatuba Heights reservoir to the existing KwaMsane reservoirs and the upgrading of the Hluhluwe phase 2 WTW from a 1.8ML/d to a 3.8Ml/d package treatment plant.</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In the Umzingyati DM, water is released from Ntshingwayo Dam, and a pump station is installated at Tayside.</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In the Unthungulu DM, water is transferred</w:t>
            </w:r>
            <w:r w:rsidRPr="00073A9B">
              <w:rPr>
                <w:rFonts w:ascii="Arial" w:hAnsi="Arial" w:cs="Arial"/>
                <w:color w:val="000000"/>
                <w:sz w:val="20"/>
                <w:szCs w:val="20"/>
                <w:lang w:eastAsia="en-ZA"/>
              </w:rPr>
              <w:t xml:space="preserve"> from Uthukela to supplement Goedertrouw Dam.</w:t>
            </w:r>
          </w:p>
          <w:p w:rsidR="00DA6BE3" w:rsidRPr="00073A9B" w:rsidRDefault="00DA6BE3" w:rsidP="00073A9B">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In Zululand DM, water is being released from Klipfontein dam for Vryheid and Ulundi, and water is being transferred from Jozini Dam for Nongoma</w:t>
            </w:r>
          </w:p>
        </w:tc>
      </w:tr>
      <w:tr w:rsidR="00DA6BE3" w:rsidRPr="003E2926" w:rsidTr="00073A9B">
        <w:tc>
          <w:tcPr>
            <w:tcW w:w="2551" w:type="dxa"/>
          </w:tcPr>
          <w:p w:rsidR="00DA6BE3" w:rsidRPr="00073A9B" w:rsidRDefault="00DA6BE3" w:rsidP="00073A9B">
            <w:pPr>
              <w:tabs>
                <w:tab w:val="left" w:pos="720"/>
                <w:tab w:val="left" w:pos="1440"/>
                <w:tab w:val="left" w:pos="3180"/>
              </w:tabs>
              <w:spacing w:before="100" w:beforeAutospacing="1" w:after="100" w:afterAutospacing="1"/>
              <w:jc w:val="both"/>
              <w:rPr>
                <w:rFonts w:ascii="Arial" w:hAnsi="Arial" w:cs="Arial"/>
                <w:b/>
                <w:sz w:val="20"/>
                <w:szCs w:val="20"/>
              </w:rPr>
            </w:pPr>
            <w:r w:rsidRPr="00073A9B">
              <w:rPr>
                <w:rFonts w:ascii="Arial" w:hAnsi="Arial" w:cs="Arial"/>
                <w:b/>
                <w:sz w:val="20"/>
                <w:szCs w:val="20"/>
              </w:rPr>
              <w:t>Eastern Cape</w:t>
            </w:r>
          </w:p>
        </w:tc>
        <w:tc>
          <w:tcPr>
            <w:tcW w:w="6095" w:type="dxa"/>
            <w:vAlign w:val="center"/>
          </w:tcPr>
          <w:p w:rsidR="00DA6BE3" w:rsidRPr="00073A9B" w:rsidRDefault="00DA6BE3" w:rsidP="00E93ECE">
            <w:pPr>
              <w:rPr>
                <w:rFonts w:ascii="Arial" w:hAnsi="Arial" w:cs="Arial"/>
                <w:sz w:val="20"/>
                <w:szCs w:val="20"/>
                <w:lang w:eastAsia="en-ZA"/>
              </w:rPr>
            </w:pPr>
            <w:r w:rsidRPr="00073A9B">
              <w:rPr>
                <w:rFonts w:ascii="Arial" w:hAnsi="Arial" w:cs="Arial"/>
                <w:sz w:val="20"/>
                <w:szCs w:val="20"/>
                <w:lang w:eastAsia="en-ZA"/>
              </w:rPr>
              <w:t>Matatiele, Mbizana, Ntabankulu, Umzimvubu, Mbhashe, Mnquma, Amahlathi,Emalahleni, Inkwanca, Lukhanji, Engcobo, IntsikaYethu, Inxuba, Yethemba, Sakhisizwe, Tsolwana, Elundini, Gariep, Maletswai, Senqu, Aliwal North, Elundini, Mhlontlo, Ngquza Hill, Nyandeni, Port St Johns, King SabataDalindyebo</w:t>
            </w:r>
          </w:p>
          <w:p w:rsidR="00DA6BE3" w:rsidRPr="00073A9B" w:rsidRDefault="00DA6BE3" w:rsidP="00E93ECE">
            <w:pPr>
              <w:rPr>
                <w:rFonts w:ascii="Arial" w:hAnsi="Arial" w:cs="Arial"/>
                <w:color w:val="000000"/>
                <w:sz w:val="20"/>
                <w:szCs w:val="20"/>
                <w:lang w:eastAsia="en-ZA"/>
              </w:rPr>
            </w:pPr>
          </w:p>
        </w:tc>
        <w:tc>
          <w:tcPr>
            <w:tcW w:w="5954" w:type="dxa"/>
          </w:tcPr>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Refurbishment of boreholes</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Drilling, testing and equipping of new boreholes</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Water Conservation and Water Demand management programs (War on Leaks)</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 xml:space="preserve">Fast tracking of completing and commissioning Water Treatment Works (Chulunca, Mnceba, </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Installing new connections to reticulation systems like the delivery from Ludeke Dam</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 xml:space="preserve">Emergency bulk water pipelines like Mbase North to Dutwa WTW, Xilinxa to Gcuma weir,  </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Deployment of 11 DWS water tankers</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Desilting and replacing pipelines</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Increase storage capacity and upgrade Cala Package plant</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Hydrosensus undertaken in Joe Gqabi DM</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Desiltattion of dams like Chippinisklip</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Upgrade of water supplies like Burgersdorp/Steynsville</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Restrictions gazetted for 1 system and 9 more being prepared.</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Water released from Katze Dam brought relief and assist in redirecting resources to Mount Fletcher</w:t>
            </w:r>
          </w:p>
          <w:p w:rsidR="00DA6BE3" w:rsidRPr="00073A9B" w:rsidRDefault="00DA6BE3" w:rsidP="00073A9B">
            <w:pPr>
              <w:pStyle w:val="ListParagraph"/>
              <w:numPr>
                <w:ilvl w:val="0"/>
                <w:numId w:val="4"/>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 xml:space="preserve">Emergency transfer from Mooi River to WTW </w:t>
            </w:r>
          </w:p>
        </w:tc>
      </w:tr>
      <w:tr w:rsidR="00DA6BE3" w:rsidRPr="003E2926" w:rsidTr="00073A9B">
        <w:tc>
          <w:tcPr>
            <w:tcW w:w="2551" w:type="dxa"/>
          </w:tcPr>
          <w:p w:rsidR="00DA6BE3" w:rsidRPr="00073A9B" w:rsidRDefault="00DA6BE3" w:rsidP="00073A9B">
            <w:pPr>
              <w:tabs>
                <w:tab w:val="left" w:pos="720"/>
                <w:tab w:val="left" w:pos="1440"/>
                <w:tab w:val="left" w:pos="3180"/>
              </w:tabs>
              <w:spacing w:before="100" w:beforeAutospacing="1" w:after="100" w:afterAutospacing="1"/>
              <w:jc w:val="both"/>
              <w:rPr>
                <w:rFonts w:ascii="Arial" w:hAnsi="Arial" w:cs="Arial"/>
                <w:b/>
                <w:sz w:val="20"/>
                <w:szCs w:val="20"/>
              </w:rPr>
            </w:pPr>
            <w:r w:rsidRPr="00073A9B">
              <w:rPr>
                <w:rFonts w:ascii="Arial" w:hAnsi="Arial" w:cs="Arial"/>
                <w:b/>
                <w:sz w:val="20"/>
                <w:szCs w:val="20"/>
              </w:rPr>
              <w:t>Western Cape</w:t>
            </w:r>
          </w:p>
        </w:tc>
        <w:tc>
          <w:tcPr>
            <w:tcW w:w="6095" w:type="dxa"/>
            <w:vAlign w:val="center"/>
          </w:tcPr>
          <w:p w:rsidR="00DA6BE3" w:rsidRPr="00073A9B" w:rsidRDefault="00DA6BE3" w:rsidP="0045778C">
            <w:pPr>
              <w:rPr>
                <w:rFonts w:ascii="Arial" w:hAnsi="Arial" w:cs="Arial"/>
                <w:color w:val="000000"/>
                <w:sz w:val="20"/>
                <w:szCs w:val="20"/>
                <w:lang w:eastAsia="en-ZA"/>
              </w:rPr>
            </w:pPr>
            <w:r w:rsidRPr="00073A9B">
              <w:rPr>
                <w:rFonts w:ascii="Arial" w:hAnsi="Arial" w:cs="Arial"/>
                <w:color w:val="000000"/>
                <w:sz w:val="20"/>
                <w:szCs w:val="20"/>
                <w:lang w:eastAsia="en-ZA"/>
              </w:rPr>
              <w:t>Ceres, Tulbagh, Klaarstroom, LeeuGamka, Dysselsdorp and De Rust, Vredendal, Klawer, Clanwilliam, Lutzville, Citrusdal, Malmesbury, Mooreesburg, Piketberg, Vredenburg, Saldanha,  Velddrift, Knysna, Breede Valley, Drakensteyn, Stellenbosch, Witzenberg, City of Cape Town, Bergrivier, Cederberg, Matzikama, Saldana Bay, Swartland</w:t>
            </w:r>
          </w:p>
        </w:tc>
        <w:tc>
          <w:tcPr>
            <w:tcW w:w="5954" w:type="dxa"/>
          </w:tcPr>
          <w:p w:rsidR="00DA6BE3" w:rsidRPr="00073A9B" w:rsidRDefault="00DA6BE3" w:rsidP="00073A9B">
            <w:pPr>
              <w:pStyle w:val="ListParagraph"/>
              <w:numPr>
                <w:ilvl w:val="0"/>
                <w:numId w:val="6"/>
              </w:numPr>
              <w:tabs>
                <w:tab w:val="left" w:pos="810"/>
                <w:tab w:val="left" w:pos="1440"/>
              </w:tabs>
              <w:jc w:val="both"/>
              <w:rPr>
                <w:rFonts w:ascii="Arial" w:hAnsi="Arial" w:cs="Arial"/>
                <w:sz w:val="20"/>
                <w:szCs w:val="20"/>
              </w:rPr>
            </w:pPr>
            <w:r w:rsidRPr="00073A9B">
              <w:rPr>
                <w:rFonts w:ascii="Arial" w:hAnsi="Arial" w:cs="Arial"/>
                <w:sz w:val="20"/>
                <w:szCs w:val="20"/>
              </w:rPr>
              <w:t>DWS is re-prioritizing its financial support to assist these municipalities with infrastructure e.g. leaking bulk water pipes, incorporation of groundwater to augment water supply.</w:t>
            </w:r>
          </w:p>
          <w:p w:rsidR="00DA6BE3" w:rsidRPr="00073A9B" w:rsidRDefault="00DA6BE3" w:rsidP="00073A9B">
            <w:pPr>
              <w:pStyle w:val="ListParagraph"/>
              <w:numPr>
                <w:ilvl w:val="0"/>
                <w:numId w:val="6"/>
              </w:numPr>
              <w:tabs>
                <w:tab w:val="left" w:pos="810"/>
                <w:tab w:val="left" w:pos="1440"/>
              </w:tabs>
              <w:jc w:val="both"/>
              <w:rPr>
                <w:rFonts w:ascii="Arial" w:hAnsi="Arial" w:cs="Arial"/>
                <w:sz w:val="20"/>
                <w:szCs w:val="20"/>
              </w:rPr>
            </w:pPr>
            <w:r w:rsidRPr="00073A9B">
              <w:rPr>
                <w:rFonts w:ascii="Arial" w:hAnsi="Arial" w:cs="Arial"/>
                <w:sz w:val="20"/>
                <w:szCs w:val="20"/>
              </w:rPr>
              <w:t>Water restrictions and awareness campaigns are in place to prolong the period of supply in these Municipalities.</w:t>
            </w:r>
          </w:p>
          <w:p w:rsidR="00DA6BE3" w:rsidRPr="00073A9B" w:rsidRDefault="00DA6BE3" w:rsidP="00073A9B">
            <w:pPr>
              <w:pStyle w:val="ListParagraph"/>
              <w:numPr>
                <w:ilvl w:val="0"/>
                <w:numId w:val="6"/>
              </w:numPr>
              <w:tabs>
                <w:tab w:val="left" w:pos="810"/>
                <w:tab w:val="left" w:pos="1440"/>
              </w:tabs>
              <w:jc w:val="both"/>
              <w:rPr>
                <w:rFonts w:ascii="Arial" w:hAnsi="Arial" w:cs="Arial"/>
                <w:sz w:val="20"/>
                <w:szCs w:val="20"/>
              </w:rPr>
            </w:pPr>
            <w:r w:rsidRPr="00073A9B">
              <w:rPr>
                <w:rFonts w:ascii="Arial" w:hAnsi="Arial" w:cs="Arial"/>
                <w:sz w:val="20"/>
                <w:szCs w:val="20"/>
              </w:rPr>
              <w:t xml:space="preserve">These Municipalities are also assisted with information and guidance to assist in making informed decisions regarding water supply. </w:t>
            </w:r>
          </w:p>
          <w:p w:rsidR="00DA6BE3" w:rsidRPr="00073A9B" w:rsidRDefault="00DA6BE3" w:rsidP="00073A9B">
            <w:pPr>
              <w:pStyle w:val="ListParagraph"/>
              <w:numPr>
                <w:ilvl w:val="0"/>
                <w:numId w:val="6"/>
              </w:numPr>
              <w:tabs>
                <w:tab w:val="left" w:pos="810"/>
                <w:tab w:val="left" w:pos="1440"/>
              </w:tabs>
              <w:jc w:val="both"/>
              <w:rPr>
                <w:rFonts w:ascii="Arial" w:hAnsi="Arial" w:cs="Arial"/>
                <w:sz w:val="20"/>
                <w:szCs w:val="20"/>
              </w:rPr>
            </w:pPr>
            <w:r w:rsidRPr="00073A9B">
              <w:rPr>
                <w:rFonts w:ascii="Arial" w:hAnsi="Arial" w:cs="Arial"/>
                <w:sz w:val="20"/>
                <w:szCs w:val="20"/>
              </w:rPr>
              <w:t>Restrictions gazette for 1 dam and 1 system.</w:t>
            </w:r>
          </w:p>
        </w:tc>
      </w:tr>
      <w:tr w:rsidR="00DA6BE3" w:rsidRPr="003E2926" w:rsidTr="00073A9B">
        <w:tc>
          <w:tcPr>
            <w:tcW w:w="2551" w:type="dxa"/>
          </w:tcPr>
          <w:p w:rsidR="00DA6BE3" w:rsidRPr="00073A9B" w:rsidRDefault="00DA6BE3" w:rsidP="00073A9B">
            <w:pPr>
              <w:tabs>
                <w:tab w:val="left" w:pos="720"/>
                <w:tab w:val="left" w:pos="1440"/>
                <w:tab w:val="left" w:pos="3180"/>
              </w:tabs>
              <w:spacing w:before="100" w:beforeAutospacing="1" w:after="100" w:afterAutospacing="1"/>
              <w:jc w:val="both"/>
              <w:rPr>
                <w:rFonts w:ascii="Arial" w:hAnsi="Arial" w:cs="Arial"/>
                <w:b/>
                <w:sz w:val="20"/>
                <w:szCs w:val="20"/>
              </w:rPr>
            </w:pPr>
            <w:r w:rsidRPr="00073A9B">
              <w:rPr>
                <w:rFonts w:ascii="Arial" w:hAnsi="Arial" w:cs="Arial"/>
                <w:b/>
                <w:sz w:val="20"/>
                <w:szCs w:val="20"/>
              </w:rPr>
              <w:t>Gauteng</w:t>
            </w:r>
          </w:p>
        </w:tc>
        <w:tc>
          <w:tcPr>
            <w:tcW w:w="6095" w:type="dxa"/>
            <w:vAlign w:val="center"/>
          </w:tcPr>
          <w:p w:rsidR="00DA6BE3" w:rsidRPr="00073A9B" w:rsidRDefault="00DA6BE3" w:rsidP="00073A9B">
            <w:pPr>
              <w:jc w:val="both"/>
              <w:rPr>
                <w:rFonts w:ascii="Arial" w:hAnsi="Arial" w:cs="Arial"/>
                <w:b/>
                <w:sz w:val="20"/>
                <w:szCs w:val="20"/>
                <w:lang w:val="en-ZA"/>
              </w:rPr>
            </w:pPr>
            <w:r w:rsidRPr="00073A9B">
              <w:rPr>
                <w:rFonts w:ascii="Arial" w:hAnsi="Arial" w:cs="Arial"/>
                <w:sz w:val="20"/>
                <w:szCs w:val="20"/>
                <w:lang w:val="en-ZA"/>
              </w:rPr>
              <w:t xml:space="preserve">Alexandra Park Res, Signal Hill, Bedfordview, Empire Palace, Isando, Kempton South, Germiston (Low Pressure in some areas), Spartan, Bonaeropark, Edleen, Bichley Area, Brandwood, Sunny Ridge, Primrose South, Chloorkop, Ester Park, City of Tshwane, Forest Hill, Town View, Chrisville, Robertsham, Rossetentville, Half of Winchester Hills , Turfontein, Forest Hill Tower, Oakdene, South Hills, Tulisa  Park, Linmeyer, Risana, Moffatt View, </w:t>
            </w:r>
            <w:r w:rsidRPr="00073A9B">
              <w:rPr>
                <w:rFonts w:ascii="Arial" w:hAnsi="Arial" w:cs="Arial"/>
                <w:color w:val="000000"/>
                <w:sz w:val="20"/>
                <w:szCs w:val="20"/>
              </w:rPr>
              <w:t>Hursthill Areas Sharpville, Nordic, Meyerton-Midvaal, Meyerton Park (Samacor), EMSA, Riverside-Midvaal, Evaton, Sebokeng North, Ironsides, Eaton, boipatong, Bophelong, Emfulenie, Evalton, Golden gardens, Johandeo, lakeside, Sebokeng, Sharpville, Stretford, Tshepiso, Vaal Oewer, Vanderbijlpark, Vereeniging</w:t>
            </w:r>
          </w:p>
          <w:p w:rsidR="00DA6BE3" w:rsidRPr="00073A9B" w:rsidRDefault="00DA6BE3" w:rsidP="00B51F34">
            <w:pPr>
              <w:rPr>
                <w:rFonts w:ascii="Arial" w:hAnsi="Arial" w:cs="Arial"/>
                <w:color w:val="000000"/>
                <w:sz w:val="20"/>
                <w:szCs w:val="20"/>
                <w:lang w:eastAsia="en-ZA"/>
              </w:rPr>
            </w:pPr>
          </w:p>
        </w:tc>
        <w:tc>
          <w:tcPr>
            <w:tcW w:w="5954" w:type="dxa"/>
          </w:tcPr>
          <w:p w:rsidR="00DA6BE3" w:rsidRPr="00073A9B" w:rsidRDefault="00DA6BE3" w:rsidP="00073A9B">
            <w:pPr>
              <w:pStyle w:val="ListParagraph"/>
              <w:numPr>
                <w:ilvl w:val="0"/>
                <w:numId w:val="7"/>
              </w:numPr>
              <w:jc w:val="both"/>
              <w:rPr>
                <w:rFonts w:ascii="Arial" w:hAnsi="Arial" w:cs="Arial"/>
                <w:b/>
                <w:sz w:val="20"/>
                <w:szCs w:val="20"/>
              </w:rPr>
            </w:pPr>
            <w:r w:rsidRPr="00073A9B">
              <w:rPr>
                <w:rFonts w:ascii="Arial" w:hAnsi="Arial" w:cs="Arial"/>
                <w:sz w:val="20"/>
                <w:szCs w:val="20"/>
              </w:rPr>
              <w:t>Water is being released from Sterkfontein Dam to Val Dam.</w:t>
            </w:r>
          </w:p>
          <w:p w:rsidR="00DA6BE3" w:rsidRPr="00073A9B" w:rsidRDefault="00DA6BE3" w:rsidP="00073A9B">
            <w:pPr>
              <w:pStyle w:val="ListParagraph"/>
              <w:numPr>
                <w:ilvl w:val="0"/>
                <w:numId w:val="7"/>
              </w:numPr>
              <w:jc w:val="both"/>
              <w:rPr>
                <w:rFonts w:ascii="Arial" w:hAnsi="Arial" w:cs="Arial"/>
                <w:b/>
                <w:sz w:val="20"/>
                <w:szCs w:val="20"/>
              </w:rPr>
            </w:pPr>
            <w:r w:rsidRPr="00073A9B">
              <w:rPr>
                <w:rFonts w:ascii="Arial" w:hAnsi="Arial" w:cs="Arial"/>
                <w:sz w:val="20"/>
                <w:szCs w:val="20"/>
              </w:rPr>
              <w:t>Currently all drought alleviation activities are coordinated with, and implemented by municipalities.</w:t>
            </w:r>
          </w:p>
          <w:p w:rsidR="00DA6BE3" w:rsidRPr="00073A9B" w:rsidRDefault="00DA6BE3" w:rsidP="00073A9B">
            <w:pPr>
              <w:pStyle w:val="ListParagraph"/>
              <w:numPr>
                <w:ilvl w:val="0"/>
                <w:numId w:val="7"/>
              </w:numPr>
              <w:jc w:val="both"/>
              <w:rPr>
                <w:rFonts w:ascii="Arial" w:hAnsi="Arial" w:cs="Arial"/>
                <w:b/>
                <w:sz w:val="20"/>
                <w:szCs w:val="20"/>
              </w:rPr>
            </w:pPr>
            <w:r w:rsidRPr="00073A9B">
              <w:rPr>
                <w:rFonts w:ascii="Arial" w:hAnsi="Arial" w:cs="Arial"/>
                <w:sz w:val="20"/>
                <w:szCs w:val="20"/>
              </w:rPr>
              <w:t>In general, consumers were requested to stop watering gardens, filling swimming pools, washing of pavements and to repair leaks;</w:t>
            </w:r>
          </w:p>
          <w:p w:rsidR="00DA6BE3" w:rsidRPr="00073A9B" w:rsidRDefault="00DA6BE3" w:rsidP="00073A9B">
            <w:pPr>
              <w:pStyle w:val="ListParagraph"/>
              <w:numPr>
                <w:ilvl w:val="0"/>
                <w:numId w:val="7"/>
              </w:numPr>
              <w:jc w:val="both"/>
              <w:rPr>
                <w:rFonts w:ascii="Arial" w:hAnsi="Arial" w:cs="Arial"/>
                <w:b/>
                <w:sz w:val="20"/>
                <w:szCs w:val="20"/>
              </w:rPr>
            </w:pPr>
            <w:r w:rsidRPr="00073A9B">
              <w:rPr>
                <w:rFonts w:ascii="Arial" w:hAnsi="Arial" w:cs="Arial"/>
                <w:sz w:val="20"/>
                <w:szCs w:val="20"/>
              </w:rPr>
              <w:t>In several areas level one restrictions are imposed and residents are urged not to water gardens between 06:00 and 18:00, was cars with hosepipes or fill swimming pools.</w:t>
            </w:r>
          </w:p>
          <w:p w:rsidR="00DA6BE3" w:rsidRPr="00073A9B" w:rsidRDefault="00DA6BE3" w:rsidP="00073A9B">
            <w:pPr>
              <w:pStyle w:val="ListParagraph"/>
              <w:numPr>
                <w:ilvl w:val="0"/>
                <w:numId w:val="7"/>
              </w:numPr>
              <w:jc w:val="both"/>
              <w:rPr>
                <w:rFonts w:ascii="Arial" w:hAnsi="Arial" w:cs="Arial"/>
                <w:b/>
                <w:sz w:val="20"/>
                <w:szCs w:val="20"/>
              </w:rPr>
            </w:pPr>
            <w:r w:rsidRPr="00073A9B">
              <w:rPr>
                <w:rFonts w:ascii="Arial" w:hAnsi="Arial" w:cs="Arial"/>
                <w:sz w:val="20"/>
                <w:szCs w:val="20"/>
              </w:rPr>
              <w:t>Static tanks are placed at selected points;</w:t>
            </w:r>
          </w:p>
          <w:p w:rsidR="00DA6BE3" w:rsidRPr="00073A9B" w:rsidRDefault="00DA6BE3" w:rsidP="00073A9B">
            <w:pPr>
              <w:pStyle w:val="ListParagraph"/>
              <w:numPr>
                <w:ilvl w:val="0"/>
                <w:numId w:val="7"/>
              </w:numPr>
              <w:jc w:val="both"/>
              <w:rPr>
                <w:rFonts w:ascii="Arial" w:hAnsi="Arial" w:cs="Arial"/>
                <w:b/>
                <w:sz w:val="20"/>
                <w:szCs w:val="20"/>
              </w:rPr>
            </w:pPr>
            <w:r w:rsidRPr="00073A9B">
              <w:rPr>
                <w:rFonts w:ascii="Arial" w:hAnsi="Arial" w:cs="Arial"/>
                <w:sz w:val="20"/>
                <w:szCs w:val="20"/>
              </w:rPr>
              <w:t>At least one tender was published for the drilling of boreholes by a municipality.</w:t>
            </w:r>
          </w:p>
          <w:p w:rsidR="00DA6BE3" w:rsidRPr="00073A9B" w:rsidRDefault="00DA6BE3" w:rsidP="00073A9B">
            <w:pPr>
              <w:pStyle w:val="ListParagraph"/>
              <w:numPr>
                <w:ilvl w:val="0"/>
                <w:numId w:val="7"/>
              </w:numPr>
              <w:jc w:val="both"/>
              <w:rPr>
                <w:rFonts w:ascii="Arial" w:hAnsi="Arial" w:cs="Arial"/>
                <w:sz w:val="20"/>
                <w:szCs w:val="20"/>
              </w:rPr>
            </w:pPr>
            <w:r w:rsidRPr="00073A9B">
              <w:rPr>
                <w:rFonts w:ascii="Arial" w:hAnsi="Arial" w:cs="Arial"/>
                <w:sz w:val="20"/>
                <w:szCs w:val="20"/>
              </w:rPr>
              <w:t>Studies are being conducted for the water network integration to enable water supply to be shifted from one network to the other in order to build redundancies in the system to improve operational resilience</w:t>
            </w:r>
          </w:p>
          <w:p w:rsidR="00DA6BE3" w:rsidRPr="00073A9B" w:rsidRDefault="00DA6BE3" w:rsidP="00073A9B">
            <w:pPr>
              <w:pStyle w:val="ListParagraph"/>
              <w:numPr>
                <w:ilvl w:val="0"/>
                <w:numId w:val="7"/>
              </w:numPr>
              <w:jc w:val="both"/>
              <w:rPr>
                <w:rFonts w:ascii="Arial" w:hAnsi="Arial" w:cs="Arial"/>
                <w:b/>
                <w:sz w:val="20"/>
                <w:szCs w:val="20"/>
              </w:rPr>
            </w:pPr>
            <w:r w:rsidRPr="00073A9B">
              <w:rPr>
                <w:rFonts w:ascii="Arial" w:hAnsi="Arial" w:cs="Arial"/>
                <w:sz w:val="20"/>
                <w:szCs w:val="20"/>
              </w:rPr>
              <w:t>Tankers are provided for critical facilities that were currently affected .</w:t>
            </w:r>
          </w:p>
          <w:p w:rsidR="00DA6BE3" w:rsidRPr="00073A9B" w:rsidRDefault="00DA6BE3" w:rsidP="00073A9B">
            <w:pPr>
              <w:pStyle w:val="ListParagraph"/>
              <w:numPr>
                <w:ilvl w:val="0"/>
                <w:numId w:val="7"/>
              </w:numPr>
              <w:jc w:val="both"/>
              <w:rPr>
                <w:rFonts w:ascii="Arial" w:hAnsi="Arial" w:cs="Arial"/>
                <w:sz w:val="20"/>
                <w:szCs w:val="20"/>
              </w:rPr>
            </w:pPr>
            <w:r w:rsidRPr="00073A9B">
              <w:rPr>
                <w:rFonts w:ascii="Arial" w:hAnsi="Arial" w:cs="Arial"/>
                <w:sz w:val="20"/>
                <w:szCs w:val="20"/>
              </w:rPr>
              <w:t>An office hour Joint Operations Centre (JOC) was establishd at the Joburg Water (JW) offices on 17 Marshall Street, Johannesburg. This facility serves as a nodal point for information</w:t>
            </w:r>
          </w:p>
          <w:p w:rsidR="00DA6BE3" w:rsidRPr="00073A9B" w:rsidRDefault="00DA6BE3" w:rsidP="00073A9B">
            <w:pPr>
              <w:pStyle w:val="ListParagraph"/>
              <w:numPr>
                <w:ilvl w:val="0"/>
                <w:numId w:val="7"/>
              </w:numPr>
              <w:jc w:val="both"/>
              <w:rPr>
                <w:rFonts w:ascii="Arial" w:hAnsi="Arial" w:cs="Arial"/>
                <w:b/>
                <w:sz w:val="20"/>
                <w:szCs w:val="20"/>
              </w:rPr>
            </w:pPr>
            <w:r w:rsidRPr="00073A9B">
              <w:rPr>
                <w:rFonts w:ascii="Arial" w:hAnsi="Arial" w:cs="Arial"/>
                <w:sz w:val="20"/>
                <w:szCs w:val="20"/>
              </w:rPr>
              <w:t>A principle agreement was reached between District and its constituent local municipalities for the provision of potable water in the event of any eventualities in the Region;</w:t>
            </w:r>
          </w:p>
          <w:p w:rsidR="00DA6BE3" w:rsidRPr="00073A9B" w:rsidRDefault="00DA6BE3" w:rsidP="00073A9B">
            <w:pPr>
              <w:pStyle w:val="ListParagraph"/>
              <w:numPr>
                <w:ilvl w:val="0"/>
                <w:numId w:val="7"/>
              </w:numPr>
              <w:jc w:val="both"/>
              <w:rPr>
                <w:rFonts w:ascii="Arial" w:hAnsi="Arial" w:cs="Arial"/>
                <w:sz w:val="20"/>
                <w:szCs w:val="20"/>
              </w:rPr>
            </w:pPr>
            <w:r w:rsidRPr="00073A9B">
              <w:rPr>
                <w:rFonts w:ascii="Arial" w:hAnsi="Arial" w:cs="Arial"/>
                <w:sz w:val="20"/>
                <w:szCs w:val="20"/>
              </w:rPr>
              <w:t>Disaster Management Officers are tasked with the responsibility to physically monitor any possible or related drought incidents through the established Volunteer Units;</w:t>
            </w:r>
          </w:p>
          <w:p w:rsidR="00DA6BE3" w:rsidRPr="00073A9B" w:rsidRDefault="00DA6BE3" w:rsidP="00073A9B">
            <w:pPr>
              <w:pStyle w:val="ListParagraph"/>
              <w:numPr>
                <w:ilvl w:val="0"/>
                <w:numId w:val="7"/>
              </w:numPr>
              <w:jc w:val="both"/>
              <w:rPr>
                <w:rFonts w:ascii="Arial" w:hAnsi="Arial" w:cs="Arial"/>
                <w:sz w:val="20"/>
                <w:szCs w:val="20"/>
              </w:rPr>
            </w:pPr>
            <w:r w:rsidRPr="00073A9B">
              <w:rPr>
                <w:rFonts w:ascii="Arial" w:hAnsi="Arial" w:cs="Arial"/>
                <w:sz w:val="20"/>
                <w:szCs w:val="20"/>
              </w:rPr>
              <w:t>Daily early warning systems are circulated through the Short Messaging System (SMS) to all stakeholders in some Districts;</w:t>
            </w:r>
          </w:p>
          <w:p w:rsidR="00DA6BE3" w:rsidRPr="00073A9B" w:rsidRDefault="00DA6BE3" w:rsidP="00073A9B">
            <w:pPr>
              <w:pStyle w:val="ListParagraph"/>
              <w:numPr>
                <w:ilvl w:val="0"/>
                <w:numId w:val="7"/>
              </w:numPr>
              <w:jc w:val="both"/>
              <w:rPr>
                <w:rFonts w:ascii="Arial" w:hAnsi="Arial" w:cs="Arial"/>
                <w:b/>
                <w:sz w:val="20"/>
                <w:szCs w:val="20"/>
              </w:rPr>
            </w:pPr>
            <w:r w:rsidRPr="00073A9B">
              <w:rPr>
                <w:rFonts w:ascii="Arial" w:hAnsi="Arial" w:cs="Arial"/>
                <w:sz w:val="20"/>
                <w:szCs w:val="20"/>
              </w:rPr>
              <w:t xml:space="preserve">Awareness campaigns are currently underway through the distribution of pamphlets, local newspapers and ward councillors across the municipal areas. </w:t>
            </w:r>
          </w:p>
          <w:p w:rsidR="00DA6BE3" w:rsidRPr="00073A9B" w:rsidRDefault="00DA6BE3" w:rsidP="00073A9B">
            <w:pPr>
              <w:tabs>
                <w:tab w:val="left" w:pos="720"/>
                <w:tab w:val="left" w:pos="1440"/>
                <w:tab w:val="left" w:pos="3180"/>
              </w:tabs>
              <w:spacing w:before="100" w:beforeAutospacing="1" w:after="100" w:afterAutospacing="1"/>
              <w:jc w:val="both"/>
              <w:rPr>
                <w:rFonts w:ascii="Arial" w:hAnsi="Arial" w:cs="Arial"/>
                <w:sz w:val="20"/>
                <w:szCs w:val="20"/>
              </w:rPr>
            </w:pPr>
          </w:p>
        </w:tc>
      </w:tr>
      <w:tr w:rsidR="00DA6BE3" w:rsidRPr="003E2926" w:rsidTr="00073A9B">
        <w:tc>
          <w:tcPr>
            <w:tcW w:w="2551" w:type="dxa"/>
          </w:tcPr>
          <w:p w:rsidR="00DA6BE3" w:rsidRPr="00073A9B" w:rsidRDefault="00DA6BE3" w:rsidP="00073A9B">
            <w:pPr>
              <w:tabs>
                <w:tab w:val="left" w:pos="720"/>
                <w:tab w:val="left" w:pos="1440"/>
                <w:tab w:val="left" w:pos="3180"/>
              </w:tabs>
              <w:spacing w:before="100" w:beforeAutospacing="1" w:after="100" w:afterAutospacing="1"/>
              <w:jc w:val="both"/>
              <w:rPr>
                <w:rFonts w:ascii="Arial" w:hAnsi="Arial" w:cs="Arial"/>
                <w:b/>
                <w:sz w:val="20"/>
                <w:szCs w:val="20"/>
              </w:rPr>
            </w:pPr>
            <w:r w:rsidRPr="00073A9B">
              <w:rPr>
                <w:rFonts w:ascii="Arial" w:hAnsi="Arial" w:cs="Arial"/>
                <w:b/>
                <w:sz w:val="20"/>
                <w:szCs w:val="20"/>
              </w:rPr>
              <w:t>Limpopo</w:t>
            </w:r>
          </w:p>
        </w:tc>
        <w:tc>
          <w:tcPr>
            <w:tcW w:w="6095" w:type="dxa"/>
            <w:vAlign w:val="center"/>
          </w:tcPr>
          <w:p w:rsidR="00DA6BE3" w:rsidRPr="00073A9B" w:rsidRDefault="00DA6BE3" w:rsidP="008F7422">
            <w:pPr>
              <w:rPr>
                <w:rFonts w:ascii="Arial" w:hAnsi="Arial" w:cs="Arial"/>
                <w:color w:val="000000"/>
                <w:sz w:val="20"/>
                <w:szCs w:val="20"/>
                <w:lang w:eastAsia="en-ZA"/>
              </w:rPr>
            </w:pPr>
            <w:r w:rsidRPr="00073A9B">
              <w:rPr>
                <w:rFonts w:ascii="Arial" w:hAnsi="Arial" w:cs="Arial"/>
                <w:color w:val="000000"/>
                <w:sz w:val="20"/>
                <w:szCs w:val="20"/>
                <w:lang w:eastAsia="en-ZA"/>
              </w:rPr>
              <w:t>Roedtan, Groblersdal, Marble Hall, Mookgopong, Modimolle, Thabazimbi, Lephalale, Mokopane, Tzaneen, Giyani</w:t>
            </w:r>
          </w:p>
          <w:p w:rsidR="00DA6BE3" w:rsidRPr="00073A9B" w:rsidRDefault="00DA6BE3" w:rsidP="00622EAF">
            <w:pPr>
              <w:rPr>
                <w:rFonts w:ascii="Arial" w:hAnsi="Arial" w:cs="Arial"/>
                <w:color w:val="000000"/>
                <w:sz w:val="20"/>
                <w:szCs w:val="20"/>
                <w:lang w:eastAsia="en-ZA"/>
              </w:rPr>
            </w:pPr>
            <w:r w:rsidRPr="00073A9B">
              <w:rPr>
                <w:rFonts w:ascii="Arial" w:hAnsi="Arial" w:cs="Arial"/>
                <w:color w:val="000000"/>
                <w:sz w:val="20"/>
                <w:szCs w:val="20"/>
                <w:lang w:eastAsia="en-ZA"/>
              </w:rPr>
              <w:t>Sibasa, Thohoyandou, Polokwane, Alldays, Dendron, Botlokwa, Bakenberg, Lebowakgomo, Makhado, Mutale, Roedtan</w:t>
            </w:r>
          </w:p>
        </w:tc>
        <w:tc>
          <w:tcPr>
            <w:tcW w:w="5954" w:type="dxa"/>
          </w:tcPr>
          <w:p w:rsidR="00DA6BE3" w:rsidRPr="00073A9B" w:rsidRDefault="00DA6BE3" w:rsidP="00073A9B">
            <w:pPr>
              <w:tabs>
                <w:tab w:val="left" w:pos="975"/>
              </w:tabs>
              <w:spacing w:before="100" w:beforeAutospacing="1" w:after="100" w:afterAutospacing="1"/>
              <w:jc w:val="both"/>
              <w:rPr>
                <w:rFonts w:ascii="Arial" w:hAnsi="Arial" w:cs="Arial"/>
                <w:sz w:val="20"/>
                <w:szCs w:val="20"/>
              </w:rPr>
            </w:pPr>
            <w:r w:rsidRPr="00073A9B">
              <w:rPr>
                <w:rFonts w:ascii="Arial" w:hAnsi="Arial" w:cs="Arial"/>
                <w:color w:val="000000"/>
                <w:sz w:val="20"/>
                <w:szCs w:val="20"/>
                <w:lang w:eastAsia="en-ZA"/>
              </w:rPr>
              <w:t>Water restrictions implemented, Requests for funding for tankering and drilling boreholes compiled &amp; submitted.  Restrictions have been gazette for 8 dams and 1 more is being prepared</w:t>
            </w:r>
          </w:p>
        </w:tc>
      </w:tr>
      <w:tr w:rsidR="00DA6BE3" w:rsidRPr="003E2926" w:rsidTr="00073A9B">
        <w:tc>
          <w:tcPr>
            <w:tcW w:w="2551" w:type="dxa"/>
            <w:tcBorders>
              <w:bottom w:val="single" w:sz="18" w:space="0" w:color="auto"/>
            </w:tcBorders>
          </w:tcPr>
          <w:p w:rsidR="00DA6BE3" w:rsidRPr="00073A9B" w:rsidRDefault="00DA6BE3" w:rsidP="00073A9B">
            <w:pPr>
              <w:tabs>
                <w:tab w:val="left" w:pos="720"/>
                <w:tab w:val="left" w:pos="1440"/>
                <w:tab w:val="left" w:pos="3180"/>
              </w:tabs>
              <w:spacing w:before="100" w:beforeAutospacing="1" w:after="100" w:afterAutospacing="1"/>
              <w:jc w:val="both"/>
              <w:rPr>
                <w:rFonts w:ascii="Arial" w:hAnsi="Arial" w:cs="Arial"/>
                <w:b/>
                <w:sz w:val="20"/>
                <w:szCs w:val="20"/>
              </w:rPr>
            </w:pPr>
            <w:r w:rsidRPr="00073A9B">
              <w:rPr>
                <w:rFonts w:ascii="Arial" w:hAnsi="Arial" w:cs="Arial"/>
                <w:b/>
                <w:sz w:val="20"/>
                <w:szCs w:val="20"/>
              </w:rPr>
              <w:t>North West</w:t>
            </w:r>
          </w:p>
        </w:tc>
        <w:tc>
          <w:tcPr>
            <w:tcW w:w="6095" w:type="dxa"/>
            <w:tcBorders>
              <w:bottom w:val="single" w:sz="18" w:space="0" w:color="auto"/>
            </w:tcBorders>
            <w:vAlign w:val="center"/>
          </w:tcPr>
          <w:p w:rsidR="00DA6BE3" w:rsidRPr="00073A9B" w:rsidRDefault="00DA6BE3" w:rsidP="0089291E">
            <w:pPr>
              <w:rPr>
                <w:rFonts w:ascii="Arial" w:hAnsi="Arial" w:cs="Arial"/>
                <w:color w:val="000000"/>
                <w:sz w:val="20"/>
                <w:szCs w:val="20"/>
                <w:lang w:eastAsia="en-ZA"/>
              </w:rPr>
            </w:pPr>
            <w:r w:rsidRPr="00073A9B">
              <w:rPr>
                <w:rFonts w:ascii="Arial" w:hAnsi="Arial" w:cs="Arial"/>
                <w:sz w:val="20"/>
                <w:szCs w:val="20"/>
              </w:rPr>
              <w:t xml:space="preserve">SweitzerReneke, Naledi, Ottosdal, Sannieshof, Delarayville, Zeerust, Mahikeng, Vyburg, Koster, </w:t>
            </w:r>
            <w:r w:rsidRPr="00073A9B">
              <w:rPr>
                <w:rFonts w:ascii="Arial" w:hAnsi="Arial" w:cs="Arial"/>
                <w:color w:val="000000"/>
                <w:sz w:val="20"/>
                <w:szCs w:val="20"/>
                <w:lang w:eastAsia="en-ZA"/>
              </w:rPr>
              <w:t>Koster, Swartruggens</w:t>
            </w:r>
            <w:r w:rsidRPr="00073A9B">
              <w:rPr>
                <w:rFonts w:ascii="Arial" w:hAnsi="Arial" w:cs="Arial"/>
                <w:sz w:val="20"/>
                <w:szCs w:val="20"/>
              </w:rPr>
              <w:t xml:space="preserve">, </w:t>
            </w:r>
            <w:r w:rsidRPr="00073A9B">
              <w:rPr>
                <w:rFonts w:ascii="Arial" w:hAnsi="Arial" w:cs="Arial"/>
                <w:bCs/>
                <w:color w:val="000000"/>
                <w:sz w:val="20"/>
                <w:szCs w:val="20"/>
                <w:lang w:eastAsia="en-ZA"/>
              </w:rPr>
              <w:t xml:space="preserve">Brits, Jericho and Majakaneng, Fafung,Waariekraal ,Jonathan and Klipvoorstad, </w:t>
            </w:r>
            <w:r w:rsidRPr="00073A9B">
              <w:rPr>
                <w:rFonts w:ascii="Arial" w:hAnsi="Arial" w:cs="Arial"/>
                <w:color w:val="000000"/>
                <w:sz w:val="20"/>
                <w:szCs w:val="20"/>
                <w:lang w:eastAsia="en-ZA"/>
              </w:rPr>
              <w:t>Mapaputle, Boitekong, Maquasi Hill, Potchefstroom, Ventersdrop, Taung, Wentzel, Taung, Majemantsho,Mokgobistad, Mashutle, Motswedi, Dinoka, Khumutwane, Mosweu, Lekubu, Driefontein, Mokgola, Gopane, Pitsane, Greysdorp, Majaneng, Lichtenburg, Mafikeng, Pomfret, Ratlou, Sannieshof</w:t>
            </w:r>
          </w:p>
          <w:p w:rsidR="00DA6BE3" w:rsidRPr="00073A9B" w:rsidRDefault="00DA6BE3" w:rsidP="0089291E">
            <w:pPr>
              <w:rPr>
                <w:rFonts w:ascii="Arial" w:hAnsi="Arial" w:cs="Arial"/>
                <w:color w:val="000000"/>
                <w:sz w:val="20"/>
                <w:szCs w:val="20"/>
                <w:lang w:eastAsia="en-ZA"/>
              </w:rPr>
            </w:pPr>
          </w:p>
          <w:p w:rsidR="00DA6BE3" w:rsidRPr="00073A9B" w:rsidRDefault="00DA6BE3" w:rsidP="00395E4E">
            <w:pPr>
              <w:rPr>
                <w:rFonts w:ascii="Arial" w:hAnsi="Arial" w:cs="Arial"/>
                <w:sz w:val="20"/>
                <w:szCs w:val="20"/>
              </w:rPr>
            </w:pPr>
          </w:p>
          <w:p w:rsidR="00DA6BE3" w:rsidRPr="00073A9B" w:rsidRDefault="00DA6BE3" w:rsidP="0089291E">
            <w:pPr>
              <w:rPr>
                <w:rFonts w:ascii="Arial" w:hAnsi="Arial" w:cs="Arial"/>
                <w:color w:val="000000"/>
                <w:sz w:val="20"/>
                <w:szCs w:val="20"/>
                <w:lang w:eastAsia="en-ZA"/>
              </w:rPr>
            </w:pPr>
          </w:p>
        </w:tc>
        <w:tc>
          <w:tcPr>
            <w:tcW w:w="5954" w:type="dxa"/>
            <w:tcBorders>
              <w:bottom w:val="single" w:sz="18" w:space="0" w:color="auto"/>
            </w:tcBorders>
          </w:tcPr>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 xml:space="preserve">The Department is providing support to the affected Municipalities through water trucks, water tanks and restore the water supply through drilling and equipping of boreholes. </w:t>
            </w:r>
          </w:p>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12 DWS tankers have been deployed</w:t>
            </w:r>
          </w:p>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Restrictions have been published for 9 dams.</w:t>
            </w:r>
          </w:p>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Intensification of the WC/WDM programs, e.g. leak detection and repairs (War on leaks).</w:t>
            </w:r>
          </w:p>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Drilling of boreholes</w:t>
            </w:r>
          </w:p>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Construction of the Brits WTW</w:t>
            </w:r>
          </w:p>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Water augmentation inMabokoloka</w:t>
            </w:r>
          </w:p>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Maquasi Hills bulk water supply scheme completed.</w:t>
            </w:r>
          </w:p>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Ventersdorp Bulk Water Supply scheme completed.</w:t>
            </w:r>
          </w:p>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Taung/Naledi BWS completed</w:t>
            </w:r>
          </w:p>
          <w:p w:rsidR="00DA6BE3" w:rsidRPr="00073A9B" w:rsidRDefault="00DA6BE3" w:rsidP="00073A9B">
            <w:pPr>
              <w:pStyle w:val="ListParagraph"/>
              <w:numPr>
                <w:ilvl w:val="0"/>
                <w:numId w:val="8"/>
              </w:numPr>
              <w:tabs>
                <w:tab w:val="left" w:pos="720"/>
                <w:tab w:val="left" w:pos="1440"/>
                <w:tab w:val="left" w:pos="3180"/>
              </w:tabs>
              <w:spacing w:before="100" w:beforeAutospacing="1" w:after="100" w:afterAutospacing="1"/>
              <w:jc w:val="both"/>
              <w:rPr>
                <w:rFonts w:ascii="Arial" w:hAnsi="Arial" w:cs="Arial"/>
                <w:sz w:val="20"/>
                <w:szCs w:val="20"/>
              </w:rPr>
            </w:pPr>
            <w:r w:rsidRPr="00073A9B">
              <w:rPr>
                <w:rFonts w:ascii="Arial" w:hAnsi="Arial" w:cs="Arial"/>
                <w:sz w:val="20"/>
                <w:szCs w:val="20"/>
              </w:rPr>
              <w:t>RBIG programmes underway.</w:t>
            </w:r>
          </w:p>
          <w:p w:rsidR="00DA6BE3" w:rsidRPr="00073A9B" w:rsidRDefault="00DA6BE3" w:rsidP="00073A9B">
            <w:pPr>
              <w:pStyle w:val="ListParagraph"/>
              <w:tabs>
                <w:tab w:val="left" w:pos="720"/>
                <w:tab w:val="left" w:pos="1440"/>
                <w:tab w:val="left" w:pos="3180"/>
              </w:tabs>
              <w:spacing w:before="100" w:beforeAutospacing="1" w:after="100" w:afterAutospacing="1"/>
              <w:jc w:val="both"/>
              <w:rPr>
                <w:rFonts w:ascii="Arial" w:hAnsi="Arial" w:cs="Arial"/>
                <w:sz w:val="20"/>
                <w:szCs w:val="20"/>
              </w:rPr>
            </w:pPr>
          </w:p>
        </w:tc>
      </w:tr>
    </w:tbl>
    <w:p w:rsidR="00DA6BE3" w:rsidRPr="003E2926" w:rsidRDefault="00DA6BE3" w:rsidP="003E2926">
      <w:pPr>
        <w:tabs>
          <w:tab w:val="left" w:pos="720"/>
          <w:tab w:val="left" w:pos="1440"/>
          <w:tab w:val="left" w:pos="3180"/>
        </w:tabs>
        <w:spacing w:before="100" w:beforeAutospacing="1" w:after="100" w:afterAutospacing="1"/>
        <w:ind w:left="1440" w:hanging="720"/>
        <w:jc w:val="both"/>
        <w:rPr>
          <w:rFonts w:ascii="Arial" w:hAnsi="Arial" w:cs="Arial"/>
          <w:bCs/>
          <w:sz w:val="20"/>
          <w:szCs w:val="20"/>
          <w:lang w:val="pt-BR"/>
        </w:rPr>
        <w:sectPr w:rsidR="00DA6BE3" w:rsidRPr="003E2926" w:rsidSect="00F85770">
          <w:pgSz w:w="16838" w:h="11906" w:orient="landscape"/>
          <w:pgMar w:top="1077" w:right="539" w:bottom="1134" w:left="539" w:header="709" w:footer="709" w:gutter="0"/>
          <w:cols w:space="720"/>
          <w:titlePg/>
          <w:docGrid w:linePitch="360"/>
        </w:sectPr>
      </w:pPr>
      <w:r w:rsidRPr="003E2926">
        <w:rPr>
          <w:rFonts w:ascii="Arial" w:hAnsi="Arial" w:cs="Arial"/>
          <w:sz w:val="20"/>
          <w:szCs w:val="20"/>
        </w:rPr>
        <w:tab/>
      </w:r>
    </w:p>
    <w:p w:rsidR="00DA6BE3" w:rsidRPr="003E2926" w:rsidRDefault="00DA6BE3" w:rsidP="00D70942">
      <w:pPr>
        <w:tabs>
          <w:tab w:val="left" w:pos="540"/>
          <w:tab w:val="left" w:pos="1080"/>
        </w:tabs>
        <w:jc w:val="center"/>
        <w:rPr>
          <w:rFonts w:ascii="Arial" w:hAnsi="Arial" w:cs="Arial"/>
          <w:bCs/>
          <w:sz w:val="20"/>
          <w:szCs w:val="20"/>
          <w:lang w:val="pt-BR"/>
        </w:rPr>
      </w:pPr>
    </w:p>
    <w:p w:rsidR="00DA6BE3" w:rsidRPr="003E2926" w:rsidRDefault="00DA6BE3" w:rsidP="00BA78FB">
      <w:pPr>
        <w:tabs>
          <w:tab w:val="left" w:pos="540"/>
          <w:tab w:val="left" w:pos="1080"/>
        </w:tabs>
        <w:rPr>
          <w:rFonts w:ascii="Arial" w:hAnsi="Arial" w:cs="Arial"/>
          <w:sz w:val="20"/>
          <w:szCs w:val="20"/>
        </w:rPr>
      </w:pPr>
      <w:r w:rsidRPr="003E2926">
        <w:rPr>
          <w:rFonts w:ascii="Arial" w:hAnsi="Arial" w:cs="Arial"/>
          <w:sz w:val="20"/>
          <w:szCs w:val="20"/>
        </w:rPr>
        <w:t>Table 2:  (a) Dams in each province</w:t>
      </w:r>
      <w:r>
        <w:rPr>
          <w:rFonts w:ascii="Arial" w:hAnsi="Arial" w:cs="Arial"/>
          <w:sz w:val="20"/>
          <w:szCs w:val="20"/>
        </w:rPr>
        <w:t xml:space="preserve"> which </w:t>
      </w:r>
      <w:r w:rsidRPr="003E2926">
        <w:rPr>
          <w:rFonts w:ascii="Arial" w:hAnsi="Arial" w:cs="Arial"/>
          <w:sz w:val="20"/>
          <w:szCs w:val="20"/>
        </w:rPr>
        <w:t>ran dry during the period 1 June 2015 to 15 February 2016, (b) which towns and/or communities were affected and (c) what is the current status of each dam?</w:t>
      </w:r>
    </w:p>
    <w:p w:rsidR="00DA6BE3" w:rsidRPr="003E2926" w:rsidRDefault="00DA6BE3" w:rsidP="00BA78FB">
      <w:pPr>
        <w:tabs>
          <w:tab w:val="left" w:pos="540"/>
          <w:tab w:val="left" w:pos="1080"/>
        </w:tabs>
        <w:rPr>
          <w:rFonts w:ascii="Arial" w:hAnsi="Arial"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57" w:type="dxa"/>
          <w:bottom w:w="57" w:type="dxa"/>
        </w:tblCellMar>
        <w:tblLook w:val="00A0"/>
      </w:tblPr>
      <w:tblGrid>
        <w:gridCol w:w="1694"/>
        <w:gridCol w:w="2398"/>
        <w:gridCol w:w="3256"/>
        <w:gridCol w:w="2301"/>
      </w:tblGrid>
      <w:tr w:rsidR="00DA6BE3" w:rsidRPr="003E2926" w:rsidTr="00073A9B">
        <w:trPr>
          <w:tblHeader/>
        </w:trPr>
        <w:tc>
          <w:tcPr>
            <w:tcW w:w="1694" w:type="dxa"/>
            <w:tcBorders>
              <w:top w:val="single" w:sz="18" w:space="0" w:color="auto"/>
              <w:bottom w:val="single" w:sz="12" w:space="0" w:color="auto"/>
            </w:tcBorders>
            <w:shd w:val="clear" w:color="auto" w:fill="F2F2F2"/>
          </w:tcPr>
          <w:p w:rsidR="00DA6BE3" w:rsidRPr="00073A9B" w:rsidRDefault="00DA6BE3" w:rsidP="00073A9B">
            <w:pPr>
              <w:tabs>
                <w:tab w:val="left" w:pos="540"/>
                <w:tab w:val="left" w:pos="1080"/>
              </w:tabs>
              <w:jc w:val="center"/>
              <w:rPr>
                <w:rFonts w:ascii="Arial" w:hAnsi="Arial" w:cs="Arial"/>
                <w:b/>
                <w:bCs/>
                <w:sz w:val="20"/>
                <w:szCs w:val="20"/>
                <w:lang w:val="pt-BR"/>
              </w:rPr>
            </w:pPr>
            <w:r w:rsidRPr="00073A9B">
              <w:rPr>
                <w:rFonts w:ascii="Arial" w:hAnsi="Arial" w:cs="Arial"/>
                <w:b/>
                <w:bCs/>
                <w:sz w:val="20"/>
                <w:szCs w:val="20"/>
                <w:lang w:val="pt-BR"/>
              </w:rPr>
              <w:t>Province</w:t>
            </w:r>
          </w:p>
        </w:tc>
        <w:tc>
          <w:tcPr>
            <w:tcW w:w="2398" w:type="dxa"/>
            <w:tcBorders>
              <w:top w:val="single" w:sz="18" w:space="0" w:color="auto"/>
              <w:bottom w:val="single" w:sz="12" w:space="0" w:color="auto"/>
            </w:tcBorders>
            <w:shd w:val="clear" w:color="auto" w:fill="F2F2F2"/>
          </w:tcPr>
          <w:p w:rsidR="00DA6BE3" w:rsidRPr="00073A9B" w:rsidRDefault="00DA6BE3" w:rsidP="00073A9B">
            <w:pPr>
              <w:tabs>
                <w:tab w:val="left" w:pos="540"/>
                <w:tab w:val="left" w:pos="1080"/>
              </w:tabs>
              <w:jc w:val="center"/>
              <w:rPr>
                <w:rFonts w:ascii="Arial" w:hAnsi="Arial" w:cs="Arial"/>
                <w:b/>
                <w:bCs/>
                <w:sz w:val="20"/>
                <w:szCs w:val="20"/>
                <w:lang w:val="pt-BR"/>
              </w:rPr>
            </w:pPr>
            <w:r w:rsidRPr="00073A9B">
              <w:rPr>
                <w:rFonts w:ascii="Arial" w:hAnsi="Arial" w:cs="Arial"/>
                <w:b/>
                <w:bCs/>
                <w:sz w:val="20"/>
                <w:szCs w:val="20"/>
                <w:lang w:val="pt-BR"/>
              </w:rPr>
              <w:t>Dams</w:t>
            </w:r>
          </w:p>
        </w:tc>
        <w:tc>
          <w:tcPr>
            <w:tcW w:w="3256" w:type="dxa"/>
            <w:tcBorders>
              <w:top w:val="single" w:sz="18" w:space="0" w:color="auto"/>
              <w:bottom w:val="single" w:sz="12" w:space="0" w:color="auto"/>
            </w:tcBorders>
            <w:shd w:val="clear" w:color="auto" w:fill="F2F2F2"/>
          </w:tcPr>
          <w:p w:rsidR="00DA6BE3" w:rsidRPr="00073A9B" w:rsidRDefault="00DA6BE3" w:rsidP="00073A9B">
            <w:pPr>
              <w:tabs>
                <w:tab w:val="left" w:pos="540"/>
                <w:tab w:val="left" w:pos="1080"/>
              </w:tabs>
              <w:jc w:val="center"/>
              <w:rPr>
                <w:rFonts w:ascii="Arial" w:hAnsi="Arial" w:cs="Arial"/>
                <w:b/>
                <w:bCs/>
                <w:sz w:val="20"/>
                <w:szCs w:val="20"/>
                <w:lang w:val="pt-BR"/>
              </w:rPr>
            </w:pPr>
            <w:r w:rsidRPr="00073A9B">
              <w:rPr>
                <w:rFonts w:ascii="Arial" w:hAnsi="Arial" w:cs="Arial"/>
                <w:b/>
                <w:bCs/>
                <w:sz w:val="20"/>
                <w:szCs w:val="20"/>
                <w:lang w:val="pt-BR"/>
              </w:rPr>
              <w:t>Communities Affected</w:t>
            </w:r>
          </w:p>
        </w:tc>
        <w:tc>
          <w:tcPr>
            <w:tcW w:w="2301" w:type="dxa"/>
            <w:tcBorders>
              <w:top w:val="single" w:sz="18" w:space="0" w:color="auto"/>
              <w:bottom w:val="single" w:sz="12" w:space="0" w:color="auto"/>
            </w:tcBorders>
            <w:shd w:val="clear" w:color="auto" w:fill="F2F2F2"/>
          </w:tcPr>
          <w:p w:rsidR="00DA6BE3" w:rsidRPr="00073A9B" w:rsidRDefault="00DA6BE3" w:rsidP="00073A9B">
            <w:pPr>
              <w:tabs>
                <w:tab w:val="left" w:pos="540"/>
                <w:tab w:val="left" w:pos="1080"/>
              </w:tabs>
              <w:jc w:val="center"/>
              <w:rPr>
                <w:rFonts w:ascii="Arial" w:hAnsi="Arial" w:cs="Arial"/>
                <w:b/>
                <w:bCs/>
                <w:sz w:val="20"/>
                <w:szCs w:val="20"/>
                <w:lang w:val="pt-BR"/>
              </w:rPr>
            </w:pPr>
            <w:r w:rsidRPr="00073A9B">
              <w:rPr>
                <w:rFonts w:ascii="Arial" w:hAnsi="Arial" w:cs="Arial"/>
                <w:b/>
                <w:bCs/>
                <w:sz w:val="20"/>
                <w:szCs w:val="20"/>
                <w:lang w:val="pt-BR"/>
              </w:rPr>
              <w:t>Current Situation</w:t>
            </w:r>
          </w:p>
        </w:tc>
      </w:tr>
      <w:tr w:rsidR="00DA6BE3" w:rsidRPr="003E2926" w:rsidTr="00073A9B">
        <w:tc>
          <w:tcPr>
            <w:tcW w:w="1694" w:type="dxa"/>
            <w:tcBorders>
              <w:top w:val="single" w:sz="12" w:space="0" w:color="auto"/>
            </w:tcBorders>
            <w:vAlign w:val="center"/>
          </w:tcPr>
          <w:p w:rsidR="00DA6BE3" w:rsidRPr="00073A9B" w:rsidRDefault="00DA6BE3" w:rsidP="00073A9B">
            <w:pPr>
              <w:tabs>
                <w:tab w:val="left" w:pos="540"/>
                <w:tab w:val="left" w:pos="1080"/>
              </w:tabs>
              <w:rPr>
                <w:rFonts w:ascii="Arial" w:hAnsi="Arial" w:cs="Arial"/>
                <w:b/>
                <w:bCs/>
                <w:sz w:val="20"/>
                <w:szCs w:val="20"/>
                <w:lang w:val="pt-BR"/>
              </w:rPr>
            </w:pPr>
            <w:r w:rsidRPr="00073A9B">
              <w:rPr>
                <w:rFonts w:ascii="Arial" w:hAnsi="Arial" w:cs="Arial"/>
                <w:b/>
                <w:bCs/>
                <w:sz w:val="20"/>
                <w:szCs w:val="20"/>
                <w:lang w:val="pt-BR"/>
              </w:rPr>
              <w:t>Northern Cape</w:t>
            </w:r>
          </w:p>
        </w:tc>
        <w:tc>
          <w:tcPr>
            <w:tcW w:w="2398" w:type="dxa"/>
            <w:tcBorders>
              <w:top w:val="single" w:sz="12" w:space="0" w:color="auto"/>
            </w:tcBorders>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None</w:t>
            </w:r>
          </w:p>
        </w:tc>
        <w:tc>
          <w:tcPr>
            <w:tcW w:w="3256" w:type="dxa"/>
            <w:tcBorders>
              <w:top w:val="single" w:sz="12" w:space="0" w:color="auto"/>
            </w:tcBorders>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tcBorders>
              <w:top w:val="single" w:sz="12" w:space="0" w:color="auto"/>
            </w:tcBorders>
            <w:vAlign w:val="center"/>
          </w:tcPr>
          <w:p w:rsidR="00DA6BE3" w:rsidRPr="00073A9B" w:rsidRDefault="00DA6BE3" w:rsidP="00073A9B">
            <w:pPr>
              <w:tabs>
                <w:tab w:val="left" w:pos="540"/>
                <w:tab w:val="left" w:pos="1080"/>
              </w:tabs>
              <w:jc w:val="center"/>
              <w:rPr>
                <w:rFonts w:ascii="Arial" w:hAnsi="Arial" w:cs="Arial"/>
                <w:bCs/>
                <w:sz w:val="20"/>
                <w:szCs w:val="20"/>
                <w:lang w:val="pt-BR"/>
              </w:rPr>
            </w:pPr>
          </w:p>
        </w:tc>
      </w:tr>
      <w:tr w:rsidR="00DA6BE3" w:rsidRPr="003E2926" w:rsidTr="00073A9B">
        <w:tc>
          <w:tcPr>
            <w:tcW w:w="1694" w:type="dxa"/>
            <w:vMerge w:val="restart"/>
            <w:vAlign w:val="center"/>
          </w:tcPr>
          <w:p w:rsidR="00DA6BE3" w:rsidRPr="00073A9B" w:rsidRDefault="00DA6BE3" w:rsidP="00073A9B">
            <w:pPr>
              <w:tabs>
                <w:tab w:val="left" w:pos="540"/>
                <w:tab w:val="left" w:pos="1080"/>
              </w:tabs>
              <w:rPr>
                <w:rFonts w:ascii="Arial" w:hAnsi="Arial" w:cs="Arial"/>
                <w:b/>
                <w:bCs/>
                <w:sz w:val="20"/>
                <w:szCs w:val="20"/>
                <w:lang w:val="pt-BR"/>
              </w:rPr>
            </w:pPr>
            <w:r w:rsidRPr="00073A9B">
              <w:rPr>
                <w:rFonts w:ascii="Arial" w:hAnsi="Arial" w:cs="Arial"/>
                <w:b/>
                <w:bCs/>
                <w:sz w:val="20"/>
                <w:szCs w:val="20"/>
                <w:lang w:val="pt-BR"/>
              </w:rPr>
              <w:t>Free State</w:t>
            </w: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Allemanskraal</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Ventersburg</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13.7%</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Armenia</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Hobhouse</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10.9%</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Erfenis</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Theunisen, Brandfort, Bultfontein</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9.3%</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Fiak-Patso</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Qwaqwa</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17.4%</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Groothoek</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Mangaung</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Kalkforntein</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Koffiefontein, Luckhoff, Oppermansgronde, Jacobsdal, Fauresmith, Jaggersfontein.</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6.2%</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 xml:space="preserve">Knellpoort </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Bloemfontein, Thaba Nchu, Botsabelo.</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33.4%</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Koppies</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Koppies, Vijoenskroon</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39.4%</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 xml:space="preserve">Krugersdrift </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Bloemfontein, Thaba Nchu, Botsabelo</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7%</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Rustfontein</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Bloemfontein, Thaba Nchu, Botsabelo</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20.5%</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Tierpoort</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Bloemfontein, Thaba Nchu, Botsabelo</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vMerge w:val="restart"/>
            <w:vAlign w:val="center"/>
          </w:tcPr>
          <w:p w:rsidR="00DA6BE3" w:rsidRPr="00073A9B" w:rsidRDefault="00DA6BE3" w:rsidP="00073A9B">
            <w:pPr>
              <w:tabs>
                <w:tab w:val="left" w:pos="540"/>
                <w:tab w:val="left" w:pos="1080"/>
              </w:tabs>
              <w:rPr>
                <w:rFonts w:ascii="Arial" w:hAnsi="Arial" w:cs="Arial"/>
                <w:b/>
                <w:bCs/>
                <w:sz w:val="20"/>
                <w:szCs w:val="20"/>
                <w:lang w:val="pt-BR"/>
              </w:rPr>
            </w:pPr>
            <w:r w:rsidRPr="00073A9B">
              <w:rPr>
                <w:rFonts w:ascii="Arial" w:hAnsi="Arial" w:cs="Arial"/>
                <w:b/>
                <w:bCs/>
                <w:sz w:val="20"/>
                <w:szCs w:val="20"/>
                <w:lang w:val="pt-BR"/>
              </w:rPr>
              <w:t>Mpumalanga</w:t>
            </w: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Lomati</w:t>
            </w:r>
          </w:p>
        </w:tc>
        <w:tc>
          <w:tcPr>
            <w:tcW w:w="3256" w:type="dxa"/>
            <w:vMerge w:val="restart"/>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rPr>
              <w:t xml:space="preserve">Bosfontein, Schuzendal, Magogeni, Mananga, Mgobodi, Dludluma, Amsterdam, Volksrust, </w:t>
            </w:r>
          </w:p>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Umjindi, Nkomazi, Nkomazi, Mkhondo, Pixley ka Isaka</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Dry</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Mbambiso</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Dry</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Mbuzini</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Dry</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Gabosch</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Dry</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Skuilhoek</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Dry</w:t>
            </w:r>
          </w:p>
        </w:tc>
      </w:tr>
      <w:tr w:rsidR="00DA6BE3" w:rsidRPr="003E2926" w:rsidTr="00073A9B">
        <w:tc>
          <w:tcPr>
            <w:tcW w:w="1694" w:type="dxa"/>
            <w:vMerge w:val="restart"/>
            <w:vAlign w:val="center"/>
          </w:tcPr>
          <w:p w:rsidR="00DA6BE3" w:rsidRPr="00073A9B" w:rsidRDefault="00DA6BE3" w:rsidP="00073A9B">
            <w:pPr>
              <w:tabs>
                <w:tab w:val="left" w:pos="540"/>
                <w:tab w:val="left" w:pos="1080"/>
              </w:tabs>
              <w:rPr>
                <w:rFonts w:ascii="Arial" w:hAnsi="Arial" w:cs="Arial"/>
                <w:b/>
                <w:bCs/>
                <w:sz w:val="20"/>
                <w:szCs w:val="20"/>
                <w:lang w:val="pt-BR"/>
              </w:rPr>
            </w:pPr>
            <w:r w:rsidRPr="00073A9B">
              <w:rPr>
                <w:rFonts w:ascii="Arial" w:hAnsi="Arial" w:cs="Arial"/>
                <w:b/>
                <w:bCs/>
                <w:sz w:val="20"/>
                <w:szCs w:val="20"/>
                <w:lang w:val="pt-BR"/>
              </w:rPr>
              <w:t>KwaZulu-Natal</w:t>
            </w: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Harding</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Harding area</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sz w:val="22"/>
                <w:szCs w:val="22"/>
                <w:lang w:val="en-ZA"/>
              </w:rPr>
              <w:t>Below 30 %</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 xml:space="preserve">Umzinto </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Scottburg, Kelso, Pennington, Umdoni, Sezela.</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100%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Dumbe</w:t>
            </w:r>
          </w:p>
        </w:tc>
        <w:tc>
          <w:tcPr>
            <w:tcW w:w="3256" w:type="dxa"/>
            <w:vMerge w:val="restart"/>
            <w:vAlign w:val="center"/>
          </w:tcPr>
          <w:p w:rsidR="00DA6BE3" w:rsidRPr="00073A9B" w:rsidRDefault="00DA6BE3" w:rsidP="00073A9B">
            <w:pPr>
              <w:tabs>
                <w:tab w:val="left" w:pos="540"/>
                <w:tab w:val="left" w:pos="1080"/>
              </w:tabs>
              <w:jc w:val="both"/>
              <w:rPr>
                <w:rFonts w:ascii="Arial" w:hAnsi="Arial" w:cs="Arial"/>
                <w:bCs/>
                <w:sz w:val="20"/>
                <w:szCs w:val="20"/>
                <w:lang w:val="pt-BR"/>
              </w:rPr>
            </w:pPr>
            <w:r w:rsidRPr="00073A9B">
              <w:rPr>
                <w:rFonts w:ascii="Arial" w:hAnsi="Arial" w:cs="Arial"/>
                <w:bCs/>
                <w:sz w:val="20"/>
                <w:szCs w:val="20"/>
              </w:rPr>
              <w:t>Greytown, Ixopo, Kokstad, Harding, Port Shepstone, Hluhluwe, Glencoe, Hattingh Spruit, Dundee, Nquthu, Msinga, eDumbe, Hlabisa, Mbazwana, Ingwavuma, Ballito</w:t>
            </w:r>
          </w:p>
          <w:p w:rsidR="00DA6BE3" w:rsidRPr="00073A9B" w:rsidRDefault="00DA6BE3" w:rsidP="00073A9B">
            <w:pPr>
              <w:tabs>
                <w:tab w:val="left" w:pos="540"/>
                <w:tab w:val="left" w:pos="1080"/>
              </w:tabs>
              <w:jc w:val="both"/>
              <w:rPr>
                <w:rFonts w:ascii="Arial" w:hAnsi="Arial" w:cs="Arial"/>
                <w:bCs/>
                <w:sz w:val="20"/>
                <w:szCs w:val="20"/>
                <w:lang w:val="pt-BR"/>
              </w:rPr>
            </w:pPr>
            <w:r w:rsidRPr="00073A9B">
              <w:rPr>
                <w:rFonts w:ascii="Arial" w:hAnsi="Arial" w:cs="Arial"/>
                <w:bCs/>
                <w:sz w:val="20"/>
                <w:szCs w:val="20"/>
              </w:rPr>
              <w:t>Maphumulo, KwaDukuza, Mthubathuba, KwaMsane, St Lucia, Vryheid, Ulundi, Eshowe, Melmoth, Nongoma</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Vuna</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Melmorth</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Donald Mchardy</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Prestine Pan</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Velrdruk</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Tom Worthington</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Bloemfeld</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Lake Merthley</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Below 30%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Hazelmere</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Tongaat Durban North</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34.1%</w:t>
            </w:r>
          </w:p>
          <w:p w:rsidR="00DA6BE3" w:rsidRPr="00073A9B" w:rsidRDefault="00DA6BE3" w:rsidP="00073A9B">
            <w:pPr>
              <w:tabs>
                <w:tab w:val="left" w:pos="540"/>
                <w:tab w:val="left" w:pos="1080"/>
              </w:tabs>
              <w:jc w:val="center"/>
              <w:rPr>
                <w:rFonts w:ascii="Arial" w:hAnsi="Arial" w:cs="Arial"/>
                <w:bCs/>
                <w:sz w:val="20"/>
                <w:szCs w:val="20"/>
                <w:lang w:val="pt-BR"/>
              </w:rPr>
            </w:pPr>
          </w:p>
        </w:tc>
      </w:tr>
      <w:tr w:rsidR="00DA6BE3" w:rsidRPr="003E2926" w:rsidTr="00073A9B">
        <w:tc>
          <w:tcPr>
            <w:tcW w:w="1694" w:type="dxa"/>
            <w:vMerge w:val="restart"/>
            <w:vAlign w:val="center"/>
          </w:tcPr>
          <w:p w:rsidR="00DA6BE3" w:rsidRPr="00073A9B" w:rsidRDefault="00DA6BE3" w:rsidP="00073A9B">
            <w:pPr>
              <w:tabs>
                <w:tab w:val="left" w:pos="540"/>
                <w:tab w:val="left" w:pos="1080"/>
              </w:tabs>
              <w:rPr>
                <w:rFonts w:ascii="Arial" w:hAnsi="Arial" w:cs="Arial"/>
                <w:b/>
                <w:bCs/>
                <w:sz w:val="20"/>
                <w:szCs w:val="20"/>
                <w:lang w:val="pt-BR"/>
              </w:rPr>
            </w:pPr>
            <w:r w:rsidRPr="00073A9B">
              <w:rPr>
                <w:rFonts w:ascii="Arial" w:hAnsi="Arial" w:cs="Arial"/>
                <w:b/>
                <w:bCs/>
                <w:sz w:val="20"/>
                <w:szCs w:val="20"/>
                <w:lang w:val="pt-BR"/>
              </w:rPr>
              <w:t>Eastern Cape</w:t>
            </w:r>
          </w:p>
        </w:tc>
        <w:tc>
          <w:tcPr>
            <w:tcW w:w="2398"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sz w:val="20"/>
                <w:szCs w:val="20"/>
              </w:rPr>
              <w:t>Dutywa</w:t>
            </w:r>
          </w:p>
        </w:tc>
        <w:tc>
          <w:tcPr>
            <w:tcW w:w="3256"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sz w:val="20"/>
                <w:szCs w:val="20"/>
              </w:rPr>
              <w:t>Golfcourse dam, Mputi&amp;Ngxakaxa Dam</w:t>
            </w:r>
          </w:p>
        </w:tc>
        <w:tc>
          <w:tcPr>
            <w:tcW w:w="2301" w:type="dxa"/>
          </w:tcPr>
          <w:p w:rsidR="00DA6BE3" w:rsidRPr="00073A9B" w:rsidRDefault="00DA6BE3" w:rsidP="00073A9B">
            <w:pPr>
              <w:spacing w:before="100" w:beforeAutospacing="1" w:after="100" w:afterAutospacing="1"/>
              <w:ind w:left="-9" w:firstLine="9"/>
              <w:jc w:val="both"/>
              <w:rPr>
                <w:rFonts w:ascii="Arial" w:hAnsi="Arial" w:cs="Arial"/>
                <w:sz w:val="20"/>
                <w:szCs w:val="20"/>
              </w:rPr>
            </w:pPr>
            <w:r w:rsidRPr="00073A9B">
              <w:rPr>
                <w:rFonts w:ascii="Arial" w:hAnsi="Arial" w:cs="Arial"/>
                <w:bCs/>
                <w:sz w:val="20"/>
                <w:szCs w:val="20"/>
              </w:rPr>
              <w:t>20% on average</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sz w:val="20"/>
                <w:szCs w:val="20"/>
              </w:rPr>
              <w:t>Aliwal North</w:t>
            </w:r>
          </w:p>
        </w:tc>
        <w:tc>
          <w:tcPr>
            <w:tcW w:w="3256"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sz w:val="20"/>
                <w:szCs w:val="20"/>
              </w:rPr>
              <w:t>Orange River ran dry</w:t>
            </w:r>
          </w:p>
        </w:tc>
        <w:tc>
          <w:tcPr>
            <w:tcW w:w="2301" w:type="dxa"/>
          </w:tcPr>
          <w:p w:rsidR="00DA6BE3" w:rsidRPr="00073A9B" w:rsidRDefault="00DA6BE3" w:rsidP="00073A9B">
            <w:pPr>
              <w:spacing w:before="100" w:beforeAutospacing="1" w:after="100" w:afterAutospacing="1"/>
              <w:ind w:left="-9" w:firstLine="9"/>
              <w:jc w:val="both"/>
              <w:rPr>
                <w:rFonts w:ascii="Arial" w:hAnsi="Arial" w:cs="Arial"/>
                <w:sz w:val="20"/>
                <w:szCs w:val="20"/>
              </w:rPr>
            </w:pPr>
            <w:r w:rsidRPr="00073A9B">
              <w:rPr>
                <w:rFonts w:ascii="Arial" w:hAnsi="Arial" w:cs="Arial"/>
                <w:sz w:val="20"/>
                <w:szCs w:val="20"/>
              </w:rPr>
              <w:t>River flowing normally again</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sz w:val="20"/>
                <w:szCs w:val="20"/>
              </w:rPr>
              <w:t>Lady Grey</w:t>
            </w:r>
          </w:p>
        </w:tc>
        <w:tc>
          <w:tcPr>
            <w:tcW w:w="3256"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sz w:val="20"/>
                <w:szCs w:val="20"/>
              </w:rPr>
              <w:t>Lady Grey Dam</w:t>
            </w:r>
          </w:p>
        </w:tc>
        <w:tc>
          <w:tcPr>
            <w:tcW w:w="2301" w:type="dxa"/>
          </w:tcPr>
          <w:p w:rsidR="00DA6BE3" w:rsidRPr="00073A9B" w:rsidRDefault="00DA6BE3" w:rsidP="00073A9B">
            <w:pPr>
              <w:spacing w:before="100" w:beforeAutospacing="1" w:after="100" w:afterAutospacing="1"/>
              <w:ind w:left="-9" w:firstLine="9"/>
              <w:jc w:val="both"/>
              <w:rPr>
                <w:rFonts w:ascii="Arial" w:hAnsi="Arial" w:cs="Arial"/>
                <w:sz w:val="20"/>
                <w:szCs w:val="20"/>
              </w:rPr>
            </w:pPr>
            <w:r w:rsidRPr="00073A9B">
              <w:rPr>
                <w:rFonts w:ascii="Arial" w:hAnsi="Arial" w:cs="Arial"/>
                <w:sz w:val="20"/>
                <w:szCs w:val="20"/>
              </w:rPr>
              <w:t>50%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sz w:val="20"/>
                <w:szCs w:val="20"/>
              </w:rPr>
              <w:t>Maclear</w:t>
            </w:r>
          </w:p>
        </w:tc>
        <w:tc>
          <w:tcPr>
            <w:tcW w:w="3256"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bCs/>
                <w:sz w:val="20"/>
                <w:szCs w:val="20"/>
              </w:rPr>
              <w:t>Aucamp dam &amp; Town Dam</w:t>
            </w:r>
          </w:p>
        </w:tc>
        <w:tc>
          <w:tcPr>
            <w:tcW w:w="2301" w:type="dxa"/>
          </w:tcPr>
          <w:p w:rsidR="00DA6BE3" w:rsidRPr="00073A9B" w:rsidRDefault="00DA6BE3" w:rsidP="00073A9B">
            <w:pPr>
              <w:spacing w:before="100" w:beforeAutospacing="1" w:after="100" w:afterAutospacing="1"/>
              <w:ind w:left="-9" w:firstLine="9"/>
              <w:jc w:val="both"/>
              <w:rPr>
                <w:rFonts w:ascii="Arial" w:hAnsi="Arial" w:cs="Arial"/>
                <w:sz w:val="20"/>
                <w:szCs w:val="20"/>
              </w:rPr>
            </w:pPr>
            <w:r w:rsidRPr="00073A9B">
              <w:rPr>
                <w:rFonts w:ascii="Arial" w:hAnsi="Arial" w:cs="Arial"/>
                <w:sz w:val="20"/>
                <w:szCs w:val="20"/>
              </w:rPr>
              <w:t>30%</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bCs/>
                <w:sz w:val="20"/>
                <w:szCs w:val="20"/>
              </w:rPr>
              <w:t>Mount Fletcher</w:t>
            </w:r>
          </w:p>
        </w:tc>
        <w:tc>
          <w:tcPr>
            <w:tcW w:w="3256"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bCs/>
                <w:sz w:val="20"/>
                <w:szCs w:val="20"/>
              </w:rPr>
              <w:t>Mount Fletcher Dam</w:t>
            </w:r>
          </w:p>
        </w:tc>
        <w:tc>
          <w:tcPr>
            <w:tcW w:w="2301" w:type="dxa"/>
          </w:tcPr>
          <w:p w:rsidR="00DA6BE3" w:rsidRPr="00073A9B" w:rsidRDefault="00DA6BE3" w:rsidP="00073A9B">
            <w:pPr>
              <w:spacing w:before="100" w:beforeAutospacing="1" w:after="100" w:afterAutospacing="1"/>
              <w:ind w:left="-9" w:firstLine="9"/>
              <w:jc w:val="both"/>
              <w:rPr>
                <w:rFonts w:ascii="Arial" w:hAnsi="Arial" w:cs="Arial"/>
                <w:sz w:val="20"/>
                <w:szCs w:val="20"/>
              </w:rPr>
            </w:pPr>
            <w:r w:rsidRPr="00073A9B">
              <w:rPr>
                <w:rFonts w:ascii="Arial" w:hAnsi="Arial" w:cs="Arial"/>
                <w:sz w:val="20"/>
                <w:szCs w:val="20"/>
              </w:rPr>
              <w:t>Full, but 70% silted</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bCs/>
                <w:sz w:val="20"/>
                <w:szCs w:val="20"/>
              </w:rPr>
              <w:t>Dordrecht</w:t>
            </w:r>
          </w:p>
        </w:tc>
        <w:tc>
          <w:tcPr>
            <w:tcW w:w="3256" w:type="dxa"/>
          </w:tcPr>
          <w:p w:rsidR="00DA6BE3" w:rsidRPr="00073A9B" w:rsidRDefault="00DA6BE3" w:rsidP="00073A9B">
            <w:pPr>
              <w:spacing w:before="100" w:beforeAutospacing="1" w:after="100" w:afterAutospacing="1"/>
              <w:jc w:val="both"/>
              <w:rPr>
                <w:rFonts w:ascii="Arial" w:hAnsi="Arial" w:cs="Arial"/>
                <w:sz w:val="20"/>
                <w:szCs w:val="20"/>
              </w:rPr>
            </w:pPr>
            <w:r w:rsidRPr="00073A9B">
              <w:rPr>
                <w:rFonts w:ascii="Arial" w:hAnsi="Arial" w:cs="Arial"/>
                <w:bCs/>
                <w:sz w:val="20"/>
                <w:szCs w:val="20"/>
              </w:rPr>
              <w:t>Dordrecht Dam</w:t>
            </w:r>
          </w:p>
        </w:tc>
        <w:tc>
          <w:tcPr>
            <w:tcW w:w="2301" w:type="dxa"/>
          </w:tcPr>
          <w:p w:rsidR="00DA6BE3" w:rsidRPr="00073A9B" w:rsidRDefault="00DA6BE3" w:rsidP="00073A9B">
            <w:pPr>
              <w:spacing w:before="100" w:beforeAutospacing="1" w:after="100" w:afterAutospacing="1"/>
              <w:ind w:left="-9" w:firstLine="9"/>
              <w:jc w:val="both"/>
              <w:rPr>
                <w:rFonts w:ascii="Arial" w:hAnsi="Arial" w:cs="Arial"/>
                <w:sz w:val="20"/>
                <w:szCs w:val="20"/>
              </w:rPr>
            </w:pPr>
            <w:r w:rsidRPr="00073A9B">
              <w:rPr>
                <w:rFonts w:ascii="Arial" w:hAnsi="Arial" w:cs="Arial"/>
                <w:sz w:val="20"/>
                <w:szCs w:val="20"/>
              </w:rPr>
              <w:t>Still very low- exact level not gauged.</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tcPr>
          <w:p w:rsidR="00DA6BE3" w:rsidRPr="00073A9B" w:rsidRDefault="00DA6BE3" w:rsidP="00073A9B">
            <w:pPr>
              <w:spacing w:before="100" w:beforeAutospacing="1" w:after="100" w:afterAutospacing="1"/>
              <w:jc w:val="both"/>
              <w:rPr>
                <w:rFonts w:ascii="Arial" w:hAnsi="Arial" w:cs="Arial"/>
                <w:bCs/>
                <w:sz w:val="20"/>
                <w:szCs w:val="20"/>
              </w:rPr>
            </w:pPr>
            <w:r w:rsidRPr="00073A9B">
              <w:rPr>
                <w:rFonts w:ascii="Arial" w:hAnsi="Arial" w:cs="Arial"/>
                <w:bCs/>
                <w:sz w:val="20"/>
                <w:szCs w:val="20"/>
              </w:rPr>
              <w:t>Matatiele</w:t>
            </w:r>
          </w:p>
        </w:tc>
        <w:tc>
          <w:tcPr>
            <w:tcW w:w="3256" w:type="dxa"/>
          </w:tcPr>
          <w:p w:rsidR="00DA6BE3" w:rsidRPr="00073A9B" w:rsidRDefault="00DA6BE3" w:rsidP="00073A9B">
            <w:pPr>
              <w:spacing w:before="100" w:beforeAutospacing="1" w:after="100" w:afterAutospacing="1"/>
              <w:jc w:val="both"/>
              <w:rPr>
                <w:rFonts w:ascii="Arial" w:hAnsi="Arial" w:cs="Arial"/>
                <w:bCs/>
                <w:sz w:val="20"/>
                <w:szCs w:val="20"/>
              </w:rPr>
            </w:pPr>
            <w:r w:rsidRPr="00073A9B">
              <w:rPr>
                <w:rFonts w:ascii="Arial" w:hAnsi="Arial" w:cs="Arial"/>
                <w:bCs/>
                <w:sz w:val="20"/>
                <w:szCs w:val="20"/>
              </w:rPr>
              <w:t>Mountain Dam</w:t>
            </w:r>
          </w:p>
        </w:tc>
        <w:tc>
          <w:tcPr>
            <w:tcW w:w="2301" w:type="dxa"/>
          </w:tcPr>
          <w:p w:rsidR="00DA6BE3" w:rsidRPr="00073A9B" w:rsidRDefault="00DA6BE3" w:rsidP="00073A9B">
            <w:pPr>
              <w:spacing w:before="100" w:beforeAutospacing="1" w:after="100" w:afterAutospacing="1"/>
              <w:ind w:left="-9" w:firstLine="9"/>
              <w:jc w:val="both"/>
              <w:rPr>
                <w:rFonts w:ascii="Arial" w:hAnsi="Arial" w:cs="Arial"/>
                <w:sz w:val="20"/>
                <w:szCs w:val="20"/>
              </w:rPr>
            </w:pPr>
            <w:r w:rsidRPr="00073A9B">
              <w:rPr>
                <w:rFonts w:ascii="Arial" w:hAnsi="Arial" w:cs="Arial"/>
                <w:sz w:val="20"/>
                <w:szCs w:val="20"/>
              </w:rPr>
              <w:t>20% - exact level not gauged.  Connected pipeline to Mountain Lake, tankering.</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tcPr>
          <w:p w:rsidR="00DA6BE3" w:rsidRPr="00073A9B" w:rsidRDefault="00DA6BE3" w:rsidP="00073A9B">
            <w:pPr>
              <w:spacing w:before="100" w:beforeAutospacing="1" w:after="100" w:afterAutospacing="1"/>
              <w:jc w:val="both"/>
              <w:rPr>
                <w:rFonts w:ascii="Arial" w:hAnsi="Arial" w:cs="Arial"/>
                <w:bCs/>
                <w:sz w:val="20"/>
                <w:szCs w:val="20"/>
              </w:rPr>
            </w:pPr>
            <w:r w:rsidRPr="00073A9B">
              <w:rPr>
                <w:rFonts w:ascii="Arial" w:hAnsi="Arial" w:cs="Arial"/>
                <w:bCs/>
                <w:sz w:val="20"/>
                <w:szCs w:val="20"/>
              </w:rPr>
              <w:t>Ngeleni</w:t>
            </w:r>
          </w:p>
        </w:tc>
        <w:tc>
          <w:tcPr>
            <w:tcW w:w="3256" w:type="dxa"/>
          </w:tcPr>
          <w:p w:rsidR="00DA6BE3" w:rsidRPr="00073A9B" w:rsidRDefault="00DA6BE3" w:rsidP="00073A9B">
            <w:pPr>
              <w:spacing w:before="100" w:beforeAutospacing="1" w:after="100" w:afterAutospacing="1"/>
              <w:jc w:val="both"/>
              <w:rPr>
                <w:rFonts w:ascii="Arial" w:hAnsi="Arial" w:cs="Arial"/>
                <w:bCs/>
                <w:sz w:val="20"/>
                <w:szCs w:val="20"/>
              </w:rPr>
            </w:pPr>
            <w:r w:rsidRPr="00073A9B">
              <w:rPr>
                <w:rFonts w:ascii="Arial" w:hAnsi="Arial" w:cs="Arial"/>
                <w:bCs/>
                <w:sz w:val="20"/>
                <w:szCs w:val="20"/>
              </w:rPr>
              <w:t>Nzwakazi Dam</w:t>
            </w:r>
          </w:p>
        </w:tc>
        <w:tc>
          <w:tcPr>
            <w:tcW w:w="2301" w:type="dxa"/>
          </w:tcPr>
          <w:p w:rsidR="00DA6BE3" w:rsidRPr="00073A9B" w:rsidRDefault="00DA6BE3" w:rsidP="00073A9B">
            <w:pPr>
              <w:spacing w:before="100" w:beforeAutospacing="1" w:after="100" w:afterAutospacing="1"/>
              <w:ind w:left="-9" w:firstLine="9"/>
              <w:jc w:val="both"/>
              <w:rPr>
                <w:rFonts w:ascii="Arial" w:hAnsi="Arial" w:cs="Arial"/>
                <w:sz w:val="20"/>
                <w:szCs w:val="20"/>
              </w:rPr>
            </w:pPr>
            <w:r w:rsidRPr="00073A9B">
              <w:rPr>
                <w:rFonts w:ascii="Arial" w:hAnsi="Arial" w:cs="Arial"/>
                <w:sz w:val="20"/>
                <w:szCs w:val="20"/>
              </w:rPr>
              <w:t>Still very low- exact level not gauged.</w:t>
            </w:r>
          </w:p>
        </w:tc>
      </w:tr>
      <w:tr w:rsidR="00DA6BE3" w:rsidRPr="003E2926" w:rsidTr="00073A9B">
        <w:tc>
          <w:tcPr>
            <w:tcW w:w="1694" w:type="dxa"/>
            <w:vMerge w:val="restart"/>
            <w:vAlign w:val="center"/>
          </w:tcPr>
          <w:p w:rsidR="00DA6BE3" w:rsidRPr="00073A9B" w:rsidRDefault="00DA6BE3" w:rsidP="00073A9B">
            <w:pPr>
              <w:tabs>
                <w:tab w:val="left" w:pos="540"/>
                <w:tab w:val="left" w:pos="1080"/>
              </w:tabs>
              <w:rPr>
                <w:rFonts w:ascii="Arial" w:hAnsi="Arial" w:cs="Arial"/>
                <w:b/>
                <w:bCs/>
                <w:sz w:val="20"/>
                <w:szCs w:val="20"/>
                <w:lang w:val="pt-BR"/>
              </w:rPr>
            </w:pPr>
            <w:r w:rsidRPr="00073A9B">
              <w:rPr>
                <w:rFonts w:ascii="Arial" w:hAnsi="Arial" w:cs="Arial"/>
                <w:b/>
                <w:bCs/>
                <w:sz w:val="20"/>
                <w:szCs w:val="20"/>
                <w:lang w:val="pt-BR"/>
              </w:rPr>
              <w:t>North West</w:t>
            </w: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Swartruggens</w:t>
            </w:r>
          </w:p>
        </w:tc>
        <w:tc>
          <w:tcPr>
            <w:tcW w:w="3256" w:type="dxa"/>
            <w:vMerge w:val="restart"/>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sz w:val="20"/>
                <w:szCs w:val="20"/>
              </w:rPr>
              <w:t>Borelelo, Ipelegeng, Glaudia, Atamelang, Mathibestad, Khunotswane, Ganyesa, Pomfret, Morokweng, Ga-maloka, Tshidilamolomo, Setlagole, Lekoko, Makhubung, Majemantsho,Lomanyaneng, Phitsane, Masutle, Motswedi, Rietpan, Ntsweletsoku, Setete, Welbedatch, Letsopa, Geysdorp, Khunwana, Sannieshof, Delareyville, Taung, Karelstad, Diplankeng, Lokgabeng, Mathanthanyaneng, Gamokake, Lothwanyeng</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0.3%</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Molatedi</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7.2%</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Disaneng</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35%</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Koster</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37.9%</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Madikwe</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22.7%</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Marico Bosveld</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18.9%</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Pella</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41.47%</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Wentzel</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0.1%</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Sehujwane</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34%</w:t>
            </w:r>
          </w:p>
        </w:tc>
      </w:tr>
      <w:tr w:rsidR="00DA6BE3" w:rsidRPr="003E2926" w:rsidTr="00073A9B">
        <w:tc>
          <w:tcPr>
            <w:tcW w:w="1694" w:type="dxa"/>
            <w:vMerge/>
            <w:vAlign w:val="center"/>
          </w:tcPr>
          <w:p w:rsidR="00DA6BE3" w:rsidRPr="00073A9B" w:rsidRDefault="00DA6BE3" w:rsidP="00073A9B">
            <w:pPr>
              <w:tabs>
                <w:tab w:val="left" w:pos="540"/>
                <w:tab w:val="left" w:pos="1080"/>
              </w:tabs>
              <w:rPr>
                <w:rFonts w:ascii="Arial" w:hAnsi="Arial" w:cs="Arial"/>
                <w:b/>
                <w:bCs/>
                <w:sz w:val="20"/>
                <w:szCs w:val="20"/>
                <w:lang w:val="pt-BR"/>
              </w:rPr>
            </w:pP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Lindleyspoort</w:t>
            </w:r>
          </w:p>
        </w:tc>
        <w:tc>
          <w:tcPr>
            <w:tcW w:w="3256" w:type="dxa"/>
            <w:vMerge/>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2.7%</w:t>
            </w:r>
          </w:p>
        </w:tc>
      </w:tr>
      <w:tr w:rsidR="00DA6BE3" w:rsidRPr="003E2926" w:rsidTr="00073A9B">
        <w:tc>
          <w:tcPr>
            <w:tcW w:w="1694" w:type="dxa"/>
            <w:vAlign w:val="center"/>
          </w:tcPr>
          <w:p w:rsidR="00DA6BE3" w:rsidRPr="00073A9B" w:rsidRDefault="00DA6BE3" w:rsidP="00073A9B">
            <w:pPr>
              <w:tabs>
                <w:tab w:val="left" w:pos="540"/>
                <w:tab w:val="left" w:pos="1080"/>
              </w:tabs>
              <w:rPr>
                <w:rFonts w:ascii="Arial" w:hAnsi="Arial" w:cs="Arial"/>
                <w:b/>
                <w:bCs/>
                <w:sz w:val="20"/>
                <w:szCs w:val="20"/>
                <w:lang w:val="pt-BR"/>
              </w:rPr>
            </w:pPr>
            <w:r w:rsidRPr="00073A9B">
              <w:rPr>
                <w:rFonts w:ascii="Arial" w:hAnsi="Arial" w:cs="Arial"/>
                <w:b/>
                <w:bCs/>
                <w:sz w:val="20"/>
                <w:szCs w:val="20"/>
                <w:lang w:val="pt-BR"/>
              </w:rPr>
              <w:t>Gauteng</w:t>
            </w: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None</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p>
        </w:tc>
      </w:tr>
      <w:tr w:rsidR="00DA6BE3" w:rsidRPr="003E2926" w:rsidTr="00073A9B">
        <w:tc>
          <w:tcPr>
            <w:tcW w:w="1694" w:type="dxa"/>
            <w:vAlign w:val="center"/>
          </w:tcPr>
          <w:p w:rsidR="00DA6BE3" w:rsidRPr="00073A9B" w:rsidRDefault="00DA6BE3" w:rsidP="00073A9B">
            <w:pPr>
              <w:tabs>
                <w:tab w:val="left" w:pos="540"/>
                <w:tab w:val="left" w:pos="1080"/>
              </w:tabs>
              <w:rPr>
                <w:rFonts w:ascii="Arial" w:hAnsi="Arial" w:cs="Arial"/>
                <w:b/>
                <w:bCs/>
                <w:sz w:val="20"/>
                <w:szCs w:val="20"/>
                <w:lang w:val="pt-BR"/>
              </w:rPr>
            </w:pPr>
            <w:r w:rsidRPr="00073A9B">
              <w:rPr>
                <w:rFonts w:ascii="Arial" w:hAnsi="Arial" w:cs="Arial"/>
                <w:b/>
                <w:bCs/>
                <w:sz w:val="20"/>
                <w:szCs w:val="20"/>
                <w:lang w:val="pt-BR"/>
              </w:rPr>
              <w:t>Limpopo</w:t>
            </w:r>
          </w:p>
        </w:tc>
        <w:tc>
          <w:tcPr>
            <w:tcW w:w="2398"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Thapane/Mogoboya</w:t>
            </w:r>
          </w:p>
        </w:tc>
        <w:tc>
          <w:tcPr>
            <w:tcW w:w="3256" w:type="dxa"/>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sz w:val="20"/>
                <w:szCs w:val="20"/>
              </w:rPr>
              <w:t>Nwamitwa, Bolobedu and Modjadji</w:t>
            </w:r>
          </w:p>
        </w:tc>
        <w:tc>
          <w:tcPr>
            <w:tcW w:w="2301" w:type="dxa"/>
            <w:vAlign w:val="center"/>
          </w:tcPr>
          <w:p w:rsidR="00DA6BE3" w:rsidRPr="00073A9B" w:rsidRDefault="00DA6BE3" w:rsidP="00073A9B">
            <w:pPr>
              <w:tabs>
                <w:tab w:val="left" w:pos="540"/>
                <w:tab w:val="left" w:pos="1080"/>
              </w:tabs>
              <w:jc w:val="center"/>
              <w:rPr>
                <w:rFonts w:ascii="Arial" w:hAnsi="Arial" w:cs="Arial"/>
                <w:bCs/>
                <w:sz w:val="20"/>
                <w:szCs w:val="20"/>
                <w:lang w:val="pt-BR"/>
              </w:rPr>
            </w:pPr>
            <w:r w:rsidRPr="00073A9B">
              <w:rPr>
                <w:rFonts w:ascii="Arial" w:hAnsi="Arial" w:cs="Arial"/>
                <w:bCs/>
                <w:sz w:val="20"/>
                <w:szCs w:val="20"/>
                <w:lang w:val="pt-BR"/>
              </w:rPr>
              <w:t>0%</w:t>
            </w:r>
          </w:p>
        </w:tc>
      </w:tr>
      <w:tr w:rsidR="00DA6BE3" w:rsidRPr="003E2926" w:rsidTr="00073A9B">
        <w:tc>
          <w:tcPr>
            <w:tcW w:w="1694" w:type="dxa"/>
            <w:tcBorders>
              <w:bottom w:val="single" w:sz="18" w:space="0" w:color="auto"/>
            </w:tcBorders>
            <w:vAlign w:val="center"/>
          </w:tcPr>
          <w:p w:rsidR="00DA6BE3" w:rsidRPr="00073A9B" w:rsidRDefault="00DA6BE3" w:rsidP="00073A9B">
            <w:pPr>
              <w:tabs>
                <w:tab w:val="left" w:pos="540"/>
                <w:tab w:val="left" w:pos="1080"/>
              </w:tabs>
              <w:rPr>
                <w:rFonts w:ascii="Arial" w:hAnsi="Arial" w:cs="Arial"/>
                <w:b/>
                <w:bCs/>
                <w:sz w:val="20"/>
                <w:szCs w:val="20"/>
                <w:lang w:val="pt-BR"/>
              </w:rPr>
            </w:pPr>
            <w:r w:rsidRPr="00073A9B">
              <w:rPr>
                <w:rFonts w:ascii="Arial" w:hAnsi="Arial" w:cs="Arial"/>
                <w:b/>
                <w:bCs/>
                <w:sz w:val="20"/>
                <w:szCs w:val="20"/>
                <w:lang w:val="pt-BR"/>
              </w:rPr>
              <w:t>Western Cape</w:t>
            </w:r>
          </w:p>
        </w:tc>
        <w:tc>
          <w:tcPr>
            <w:tcW w:w="2398" w:type="dxa"/>
            <w:tcBorders>
              <w:bottom w:val="single" w:sz="18" w:space="0" w:color="auto"/>
            </w:tcBorders>
            <w:vAlign w:val="center"/>
          </w:tcPr>
          <w:p w:rsidR="00DA6BE3" w:rsidRPr="00073A9B" w:rsidRDefault="00DA6BE3" w:rsidP="00073A9B">
            <w:pPr>
              <w:tabs>
                <w:tab w:val="left" w:pos="540"/>
                <w:tab w:val="left" w:pos="1080"/>
              </w:tabs>
              <w:rPr>
                <w:rFonts w:ascii="Arial" w:hAnsi="Arial" w:cs="Arial"/>
                <w:bCs/>
                <w:sz w:val="20"/>
                <w:szCs w:val="20"/>
                <w:lang w:val="pt-BR"/>
              </w:rPr>
            </w:pPr>
            <w:r w:rsidRPr="00073A9B">
              <w:rPr>
                <w:rFonts w:ascii="Arial" w:hAnsi="Arial" w:cs="Arial"/>
                <w:bCs/>
                <w:sz w:val="20"/>
                <w:szCs w:val="20"/>
                <w:lang w:val="pt-BR"/>
              </w:rPr>
              <w:t>None</w:t>
            </w:r>
          </w:p>
        </w:tc>
        <w:tc>
          <w:tcPr>
            <w:tcW w:w="3256" w:type="dxa"/>
            <w:tcBorders>
              <w:bottom w:val="single" w:sz="18" w:space="0" w:color="auto"/>
            </w:tcBorders>
            <w:vAlign w:val="center"/>
          </w:tcPr>
          <w:p w:rsidR="00DA6BE3" w:rsidRPr="00073A9B" w:rsidRDefault="00DA6BE3" w:rsidP="00073A9B">
            <w:pPr>
              <w:tabs>
                <w:tab w:val="left" w:pos="540"/>
                <w:tab w:val="left" w:pos="1080"/>
              </w:tabs>
              <w:rPr>
                <w:rFonts w:ascii="Arial" w:hAnsi="Arial" w:cs="Arial"/>
                <w:bCs/>
                <w:sz w:val="20"/>
                <w:szCs w:val="20"/>
                <w:lang w:val="pt-BR"/>
              </w:rPr>
            </w:pPr>
          </w:p>
        </w:tc>
        <w:tc>
          <w:tcPr>
            <w:tcW w:w="2301" w:type="dxa"/>
            <w:tcBorders>
              <w:bottom w:val="single" w:sz="18" w:space="0" w:color="auto"/>
            </w:tcBorders>
            <w:vAlign w:val="center"/>
          </w:tcPr>
          <w:p w:rsidR="00DA6BE3" w:rsidRPr="00073A9B" w:rsidRDefault="00DA6BE3" w:rsidP="00073A9B">
            <w:pPr>
              <w:tabs>
                <w:tab w:val="left" w:pos="540"/>
                <w:tab w:val="left" w:pos="1080"/>
              </w:tabs>
              <w:jc w:val="center"/>
              <w:rPr>
                <w:rFonts w:ascii="Arial" w:hAnsi="Arial" w:cs="Arial"/>
                <w:bCs/>
                <w:sz w:val="20"/>
                <w:szCs w:val="20"/>
                <w:lang w:val="pt-BR"/>
              </w:rPr>
            </w:pPr>
          </w:p>
        </w:tc>
      </w:tr>
    </w:tbl>
    <w:p w:rsidR="00DA6BE3" w:rsidRPr="003E2926" w:rsidRDefault="00DA6BE3" w:rsidP="00BA78FB">
      <w:pPr>
        <w:tabs>
          <w:tab w:val="left" w:pos="540"/>
          <w:tab w:val="left" w:pos="1080"/>
        </w:tabs>
        <w:rPr>
          <w:rFonts w:ascii="Arial" w:hAnsi="Arial" w:cs="Arial"/>
          <w:bCs/>
          <w:sz w:val="20"/>
          <w:szCs w:val="20"/>
          <w:lang w:val="pt-BR"/>
        </w:rPr>
      </w:pPr>
    </w:p>
    <w:sectPr w:rsidR="00DA6BE3" w:rsidRPr="003E2926" w:rsidSect="00F22D90">
      <w:pgSz w:w="11906" w:h="16838"/>
      <w:pgMar w:top="539" w:right="1134" w:bottom="539" w:left="1077"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E3" w:rsidRDefault="00DA6BE3">
      <w:r>
        <w:separator/>
      </w:r>
    </w:p>
  </w:endnote>
  <w:endnote w:type="continuationSeparator" w:id="0">
    <w:p w:rsidR="00DA6BE3" w:rsidRDefault="00DA6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E3" w:rsidRDefault="00DA6BE3">
    <w:pPr>
      <w:pStyle w:val="Footer"/>
      <w:jc w:val="center"/>
    </w:pPr>
    <w:fldSimple w:instr=" PAGE   \* MERGEFORMAT ">
      <w:r>
        <w:rPr>
          <w:noProof/>
        </w:rPr>
        <w:t>10</w:t>
      </w:r>
    </w:fldSimple>
  </w:p>
  <w:p w:rsidR="00DA6BE3" w:rsidRPr="002B3F42" w:rsidRDefault="00DA6BE3">
    <w:pPr>
      <w:pStyle w:val="Foo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E3" w:rsidRDefault="00DA6BE3">
    <w:pPr>
      <w:pStyle w:val="Footer"/>
      <w:rPr>
        <w:rFonts w:ascii="Arial" w:hAnsi="Arial" w:cs="Arial"/>
        <w:sz w:val="16"/>
        <w:szCs w:val="16"/>
      </w:rPr>
    </w:pPr>
  </w:p>
  <w:p w:rsidR="00DA6BE3" w:rsidRPr="002B3F42" w:rsidRDefault="00DA6BE3">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428</w:t>
    </w:r>
    <w:r>
      <w:rPr>
        <w:rFonts w:ascii="Arial" w:hAnsi="Arial" w:cs="Arial"/>
        <w:sz w:val="16"/>
        <w:szCs w:val="16"/>
      </w:rPr>
      <w:tab/>
    </w:r>
    <w:r>
      <w:rPr>
        <w:rFonts w:ascii="Arial" w:hAnsi="Arial" w:cs="Arial"/>
        <w:sz w:val="16"/>
        <w:szCs w:val="16"/>
      </w:rPr>
      <w:tab/>
      <w:t>NW441E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E3" w:rsidRDefault="00DA6BE3">
      <w:r>
        <w:separator/>
      </w:r>
    </w:p>
  </w:footnote>
  <w:footnote w:type="continuationSeparator" w:id="0">
    <w:p w:rsidR="00DA6BE3" w:rsidRDefault="00DA6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E3" w:rsidRDefault="00DA6BE3"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6BE3" w:rsidRDefault="00DA6B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E3" w:rsidRPr="003E5759" w:rsidRDefault="00DA6BE3"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40D"/>
    <w:multiLevelType w:val="hybridMultilevel"/>
    <w:tmpl w:val="0980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30EE4"/>
    <w:multiLevelType w:val="hybridMultilevel"/>
    <w:tmpl w:val="F3C2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C4B10F3"/>
    <w:multiLevelType w:val="hybridMultilevel"/>
    <w:tmpl w:val="DBC84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3882FB7"/>
    <w:multiLevelType w:val="hybridMultilevel"/>
    <w:tmpl w:val="806AE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9721CE7"/>
    <w:multiLevelType w:val="hybridMultilevel"/>
    <w:tmpl w:val="2730B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0E20C6D"/>
    <w:multiLevelType w:val="hybridMultilevel"/>
    <w:tmpl w:val="E54426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AA54CCA"/>
    <w:multiLevelType w:val="hybridMultilevel"/>
    <w:tmpl w:val="2C761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790"/>
    <w:rsid w:val="000475B5"/>
    <w:rsid w:val="000520E5"/>
    <w:rsid w:val="00052699"/>
    <w:rsid w:val="00060437"/>
    <w:rsid w:val="000614F2"/>
    <w:rsid w:val="00072352"/>
    <w:rsid w:val="00073A9B"/>
    <w:rsid w:val="00075C08"/>
    <w:rsid w:val="00076C33"/>
    <w:rsid w:val="000772AF"/>
    <w:rsid w:val="00081E70"/>
    <w:rsid w:val="00086AF5"/>
    <w:rsid w:val="00090929"/>
    <w:rsid w:val="000910A6"/>
    <w:rsid w:val="0009164F"/>
    <w:rsid w:val="00093072"/>
    <w:rsid w:val="000939A3"/>
    <w:rsid w:val="000961D4"/>
    <w:rsid w:val="00097172"/>
    <w:rsid w:val="000B5E49"/>
    <w:rsid w:val="000B7476"/>
    <w:rsid w:val="000B74AD"/>
    <w:rsid w:val="000C4C94"/>
    <w:rsid w:val="000C5219"/>
    <w:rsid w:val="000D2600"/>
    <w:rsid w:val="000D2A0D"/>
    <w:rsid w:val="000D5969"/>
    <w:rsid w:val="000E41F5"/>
    <w:rsid w:val="000F1E4D"/>
    <w:rsid w:val="000F3E7C"/>
    <w:rsid w:val="000F5ACE"/>
    <w:rsid w:val="000F7160"/>
    <w:rsid w:val="0010103C"/>
    <w:rsid w:val="001011DE"/>
    <w:rsid w:val="00101961"/>
    <w:rsid w:val="00103738"/>
    <w:rsid w:val="0010464B"/>
    <w:rsid w:val="00104FAA"/>
    <w:rsid w:val="00105F33"/>
    <w:rsid w:val="00111C54"/>
    <w:rsid w:val="00121AEB"/>
    <w:rsid w:val="001229D1"/>
    <w:rsid w:val="00132C16"/>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5668"/>
    <w:rsid w:val="001B6327"/>
    <w:rsid w:val="001B6885"/>
    <w:rsid w:val="001C08DC"/>
    <w:rsid w:val="001C5CAE"/>
    <w:rsid w:val="001C7DDB"/>
    <w:rsid w:val="001D03EF"/>
    <w:rsid w:val="001D3462"/>
    <w:rsid w:val="001E036C"/>
    <w:rsid w:val="001F6A53"/>
    <w:rsid w:val="00201F06"/>
    <w:rsid w:val="0020507E"/>
    <w:rsid w:val="00211B7A"/>
    <w:rsid w:val="0021410C"/>
    <w:rsid w:val="00214C07"/>
    <w:rsid w:val="002238F0"/>
    <w:rsid w:val="002326D5"/>
    <w:rsid w:val="00243B87"/>
    <w:rsid w:val="002451BE"/>
    <w:rsid w:val="00245891"/>
    <w:rsid w:val="00245EC0"/>
    <w:rsid w:val="002465AC"/>
    <w:rsid w:val="00255C22"/>
    <w:rsid w:val="00255D67"/>
    <w:rsid w:val="00255D9D"/>
    <w:rsid w:val="002628DA"/>
    <w:rsid w:val="00262B8B"/>
    <w:rsid w:val="00262DEA"/>
    <w:rsid w:val="002810AB"/>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4BF2"/>
    <w:rsid w:val="003358E6"/>
    <w:rsid w:val="003375A7"/>
    <w:rsid w:val="003407C4"/>
    <w:rsid w:val="00340C5B"/>
    <w:rsid w:val="00342459"/>
    <w:rsid w:val="003473E4"/>
    <w:rsid w:val="00355562"/>
    <w:rsid w:val="003635E7"/>
    <w:rsid w:val="00363865"/>
    <w:rsid w:val="003647E5"/>
    <w:rsid w:val="00365608"/>
    <w:rsid w:val="00366E7A"/>
    <w:rsid w:val="00367E3D"/>
    <w:rsid w:val="003749BC"/>
    <w:rsid w:val="00374F38"/>
    <w:rsid w:val="00375B0B"/>
    <w:rsid w:val="0037707B"/>
    <w:rsid w:val="00382A7A"/>
    <w:rsid w:val="003856A3"/>
    <w:rsid w:val="00391147"/>
    <w:rsid w:val="00395E4E"/>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2926"/>
    <w:rsid w:val="003E5759"/>
    <w:rsid w:val="003F02A2"/>
    <w:rsid w:val="003F20AB"/>
    <w:rsid w:val="003F30C2"/>
    <w:rsid w:val="003F41FD"/>
    <w:rsid w:val="003F7387"/>
    <w:rsid w:val="004028C5"/>
    <w:rsid w:val="004029B9"/>
    <w:rsid w:val="00403AFE"/>
    <w:rsid w:val="00410915"/>
    <w:rsid w:val="004148A5"/>
    <w:rsid w:val="004177F6"/>
    <w:rsid w:val="00423103"/>
    <w:rsid w:val="004305FF"/>
    <w:rsid w:val="00431D1D"/>
    <w:rsid w:val="0043569E"/>
    <w:rsid w:val="00440394"/>
    <w:rsid w:val="00440927"/>
    <w:rsid w:val="004456E6"/>
    <w:rsid w:val="004476B1"/>
    <w:rsid w:val="004530C0"/>
    <w:rsid w:val="004542D2"/>
    <w:rsid w:val="0045778C"/>
    <w:rsid w:val="00460F03"/>
    <w:rsid w:val="00461043"/>
    <w:rsid w:val="0046758B"/>
    <w:rsid w:val="00467D5C"/>
    <w:rsid w:val="00472ECA"/>
    <w:rsid w:val="00475B57"/>
    <w:rsid w:val="00476F6C"/>
    <w:rsid w:val="00481CC0"/>
    <w:rsid w:val="00485CC3"/>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37B4"/>
    <w:rsid w:val="005067B3"/>
    <w:rsid w:val="00511A8D"/>
    <w:rsid w:val="0051341E"/>
    <w:rsid w:val="005203BC"/>
    <w:rsid w:val="00521ABD"/>
    <w:rsid w:val="00522DFF"/>
    <w:rsid w:val="005232D7"/>
    <w:rsid w:val="00526C0B"/>
    <w:rsid w:val="00527BD6"/>
    <w:rsid w:val="005379E1"/>
    <w:rsid w:val="00540715"/>
    <w:rsid w:val="005432C9"/>
    <w:rsid w:val="005444FD"/>
    <w:rsid w:val="00572BA8"/>
    <w:rsid w:val="00574A31"/>
    <w:rsid w:val="005752DE"/>
    <w:rsid w:val="00583A1F"/>
    <w:rsid w:val="00583E2D"/>
    <w:rsid w:val="005841EB"/>
    <w:rsid w:val="00585780"/>
    <w:rsid w:val="0059008E"/>
    <w:rsid w:val="00590D8A"/>
    <w:rsid w:val="005978E1"/>
    <w:rsid w:val="005A1EE0"/>
    <w:rsid w:val="005B15A3"/>
    <w:rsid w:val="005B7358"/>
    <w:rsid w:val="005B7A58"/>
    <w:rsid w:val="005C771C"/>
    <w:rsid w:val="005D291A"/>
    <w:rsid w:val="005D6B20"/>
    <w:rsid w:val="005D7DEF"/>
    <w:rsid w:val="005E21DA"/>
    <w:rsid w:val="005E3AD0"/>
    <w:rsid w:val="005E59AA"/>
    <w:rsid w:val="005E63F4"/>
    <w:rsid w:val="005F04C8"/>
    <w:rsid w:val="005F26CC"/>
    <w:rsid w:val="005F3CBB"/>
    <w:rsid w:val="005F7852"/>
    <w:rsid w:val="00602470"/>
    <w:rsid w:val="00602BB6"/>
    <w:rsid w:val="00603843"/>
    <w:rsid w:val="0060724E"/>
    <w:rsid w:val="00607D1B"/>
    <w:rsid w:val="00611412"/>
    <w:rsid w:val="006222BA"/>
    <w:rsid w:val="00622EAF"/>
    <w:rsid w:val="006264AC"/>
    <w:rsid w:val="00631D35"/>
    <w:rsid w:val="00633C8A"/>
    <w:rsid w:val="00633E6E"/>
    <w:rsid w:val="00634013"/>
    <w:rsid w:val="00634C0E"/>
    <w:rsid w:val="0063537D"/>
    <w:rsid w:val="00637686"/>
    <w:rsid w:val="00637824"/>
    <w:rsid w:val="00640FEE"/>
    <w:rsid w:val="006507D5"/>
    <w:rsid w:val="00656F15"/>
    <w:rsid w:val="00660EE8"/>
    <w:rsid w:val="00663055"/>
    <w:rsid w:val="0066679D"/>
    <w:rsid w:val="00677C2D"/>
    <w:rsid w:val="00684A9D"/>
    <w:rsid w:val="00686EA2"/>
    <w:rsid w:val="0069377A"/>
    <w:rsid w:val="00696BD5"/>
    <w:rsid w:val="006A1BF0"/>
    <w:rsid w:val="006A2910"/>
    <w:rsid w:val="006A467A"/>
    <w:rsid w:val="006B01B0"/>
    <w:rsid w:val="006B1185"/>
    <w:rsid w:val="006B25FC"/>
    <w:rsid w:val="006C11DF"/>
    <w:rsid w:val="006C2AA0"/>
    <w:rsid w:val="006C6C31"/>
    <w:rsid w:val="006C6C52"/>
    <w:rsid w:val="006D0494"/>
    <w:rsid w:val="006E192A"/>
    <w:rsid w:val="006F4F50"/>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0E20"/>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E7444"/>
    <w:rsid w:val="007F17EC"/>
    <w:rsid w:val="007F26AE"/>
    <w:rsid w:val="007F79EF"/>
    <w:rsid w:val="00800EB6"/>
    <w:rsid w:val="0080532A"/>
    <w:rsid w:val="0080584E"/>
    <w:rsid w:val="00812C65"/>
    <w:rsid w:val="00815E92"/>
    <w:rsid w:val="0082482B"/>
    <w:rsid w:val="00824C9D"/>
    <w:rsid w:val="00830F28"/>
    <w:rsid w:val="008337AE"/>
    <w:rsid w:val="00833945"/>
    <w:rsid w:val="008425E7"/>
    <w:rsid w:val="00852F3F"/>
    <w:rsid w:val="00855CC8"/>
    <w:rsid w:val="00855DCE"/>
    <w:rsid w:val="00872F8A"/>
    <w:rsid w:val="00873284"/>
    <w:rsid w:val="0087348E"/>
    <w:rsid w:val="0087537C"/>
    <w:rsid w:val="008755B0"/>
    <w:rsid w:val="00875B31"/>
    <w:rsid w:val="0088398E"/>
    <w:rsid w:val="00883CC3"/>
    <w:rsid w:val="00884565"/>
    <w:rsid w:val="00887BFD"/>
    <w:rsid w:val="0089291E"/>
    <w:rsid w:val="008A0509"/>
    <w:rsid w:val="008A0C3C"/>
    <w:rsid w:val="008A2E1C"/>
    <w:rsid w:val="008A3984"/>
    <w:rsid w:val="008A4268"/>
    <w:rsid w:val="008A7DCE"/>
    <w:rsid w:val="008B04A4"/>
    <w:rsid w:val="008B1C30"/>
    <w:rsid w:val="008B3DE3"/>
    <w:rsid w:val="008B517B"/>
    <w:rsid w:val="008B66F5"/>
    <w:rsid w:val="008C35B4"/>
    <w:rsid w:val="008C4653"/>
    <w:rsid w:val="008D46B7"/>
    <w:rsid w:val="008D6418"/>
    <w:rsid w:val="008D7398"/>
    <w:rsid w:val="008D7490"/>
    <w:rsid w:val="008E07D3"/>
    <w:rsid w:val="008E1235"/>
    <w:rsid w:val="008E2DAB"/>
    <w:rsid w:val="008E4A2A"/>
    <w:rsid w:val="008E778C"/>
    <w:rsid w:val="008F4DF9"/>
    <w:rsid w:val="008F7422"/>
    <w:rsid w:val="008F7DD8"/>
    <w:rsid w:val="00900786"/>
    <w:rsid w:val="00903072"/>
    <w:rsid w:val="00924918"/>
    <w:rsid w:val="00925CEA"/>
    <w:rsid w:val="0093147C"/>
    <w:rsid w:val="0093643F"/>
    <w:rsid w:val="00941093"/>
    <w:rsid w:val="00941E0F"/>
    <w:rsid w:val="009476D2"/>
    <w:rsid w:val="00950C24"/>
    <w:rsid w:val="00952DAA"/>
    <w:rsid w:val="0095517A"/>
    <w:rsid w:val="00955E76"/>
    <w:rsid w:val="00970B1C"/>
    <w:rsid w:val="009720C3"/>
    <w:rsid w:val="00972A42"/>
    <w:rsid w:val="00972BD0"/>
    <w:rsid w:val="009742B9"/>
    <w:rsid w:val="00977AF5"/>
    <w:rsid w:val="00982403"/>
    <w:rsid w:val="009831EC"/>
    <w:rsid w:val="00984D33"/>
    <w:rsid w:val="009854B4"/>
    <w:rsid w:val="009857C8"/>
    <w:rsid w:val="00995F3C"/>
    <w:rsid w:val="009A5459"/>
    <w:rsid w:val="009A5AEC"/>
    <w:rsid w:val="009A6BFC"/>
    <w:rsid w:val="009B1473"/>
    <w:rsid w:val="009B29E4"/>
    <w:rsid w:val="009B3315"/>
    <w:rsid w:val="009B44A2"/>
    <w:rsid w:val="009B5458"/>
    <w:rsid w:val="009C0876"/>
    <w:rsid w:val="009C317A"/>
    <w:rsid w:val="009C7B03"/>
    <w:rsid w:val="009D0ED4"/>
    <w:rsid w:val="009D0FC8"/>
    <w:rsid w:val="009E370B"/>
    <w:rsid w:val="009E55B3"/>
    <w:rsid w:val="009E5677"/>
    <w:rsid w:val="009F276C"/>
    <w:rsid w:val="009F76B4"/>
    <w:rsid w:val="00A00641"/>
    <w:rsid w:val="00A048FC"/>
    <w:rsid w:val="00A05BFF"/>
    <w:rsid w:val="00A063FC"/>
    <w:rsid w:val="00A07321"/>
    <w:rsid w:val="00A07FD9"/>
    <w:rsid w:val="00A12676"/>
    <w:rsid w:val="00A162AA"/>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E94"/>
    <w:rsid w:val="00A87B4F"/>
    <w:rsid w:val="00A946D0"/>
    <w:rsid w:val="00AA2D12"/>
    <w:rsid w:val="00AA4097"/>
    <w:rsid w:val="00AB3ABC"/>
    <w:rsid w:val="00AC0CBA"/>
    <w:rsid w:val="00AC3702"/>
    <w:rsid w:val="00AC480C"/>
    <w:rsid w:val="00AC7CB8"/>
    <w:rsid w:val="00AD0539"/>
    <w:rsid w:val="00AD06C2"/>
    <w:rsid w:val="00AE0716"/>
    <w:rsid w:val="00AE413A"/>
    <w:rsid w:val="00AE600F"/>
    <w:rsid w:val="00AF2973"/>
    <w:rsid w:val="00AF29C1"/>
    <w:rsid w:val="00AF2CEA"/>
    <w:rsid w:val="00AF425B"/>
    <w:rsid w:val="00AF48B7"/>
    <w:rsid w:val="00AF5F82"/>
    <w:rsid w:val="00AF65D5"/>
    <w:rsid w:val="00B00686"/>
    <w:rsid w:val="00B041EA"/>
    <w:rsid w:val="00B06136"/>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1F34"/>
    <w:rsid w:val="00B52B1B"/>
    <w:rsid w:val="00B5373C"/>
    <w:rsid w:val="00B64DBD"/>
    <w:rsid w:val="00B67A15"/>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403F"/>
    <w:rsid w:val="00BE2476"/>
    <w:rsid w:val="00BE40FF"/>
    <w:rsid w:val="00BF06B9"/>
    <w:rsid w:val="00BF16A4"/>
    <w:rsid w:val="00C01DB2"/>
    <w:rsid w:val="00C06F36"/>
    <w:rsid w:val="00C179BF"/>
    <w:rsid w:val="00C205F2"/>
    <w:rsid w:val="00C2124A"/>
    <w:rsid w:val="00C27D1E"/>
    <w:rsid w:val="00C3134A"/>
    <w:rsid w:val="00C325D7"/>
    <w:rsid w:val="00C32FF7"/>
    <w:rsid w:val="00C425FE"/>
    <w:rsid w:val="00C45350"/>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B445A"/>
    <w:rsid w:val="00CC0595"/>
    <w:rsid w:val="00CC596F"/>
    <w:rsid w:val="00CC6079"/>
    <w:rsid w:val="00CD42FF"/>
    <w:rsid w:val="00CD6F96"/>
    <w:rsid w:val="00CE0DE6"/>
    <w:rsid w:val="00CE4088"/>
    <w:rsid w:val="00CF1DD4"/>
    <w:rsid w:val="00CF2D28"/>
    <w:rsid w:val="00CF78B0"/>
    <w:rsid w:val="00D050AE"/>
    <w:rsid w:val="00D1117B"/>
    <w:rsid w:val="00D11B5A"/>
    <w:rsid w:val="00D148E2"/>
    <w:rsid w:val="00D15004"/>
    <w:rsid w:val="00D25A6F"/>
    <w:rsid w:val="00D26159"/>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386F"/>
    <w:rsid w:val="00DA5ABA"/>
    <w:rsid w:val="00DA5BF5"/>
    <w:rsid w:val="00DA6BE3"/>
    <w:rsid w:val="00DA71EC"/>
    <w:rsid w:val="00DB0633"/>
    <w:rsid w:val="00DB2AE8"/>
    <w:rsid w:val="00DB4CDD"/>
    <w:rsid w:val="00DB56B2"/>
    <w:rsid w:val="00DB5D0C"/>
    <w:rsid w:val="00DB6184"/>
    <w:rsid w:val="00DB6E36"/>
    <w:rsid w:val="00DC205E"/>
    <w:rsid w:val="00DC4C64"/>
    <w:rsid w:val="00DD04B1"/>
    <w:rsid w:val="00DD0884"/>
    <w:rsid w:val="00DD307F"/>
    <w:rsid w:val="00DD4001"/>
    <w:rsid w:val="00DD43F8"/>
    <w:rsid w:val="00DE5267"/>
    <w:rsid w:val="00DF023E"/>
    <w:rsid w:val="00DF04F3"/>
    <w:rsid w:val="00DF4239"/>
    <w:rsid w:val="00DF4C1C"/>
    <w:rsid w:val="00E000EF"/>
    <w:rsid w:val="00E010BD"/>
    <w:rsid w:val="00E06278"/>
    <w:rsid w:val="00E068C5"/>
    <w:rsid w:val="00E24799"/>
    <w:rsid w:val="00E25606"/>
    <w:rsid w:val="00E43153"/>
    <w:rsid w:val="00E514FB"/>
    <w:rsid w:val="00E529A0"/>
    <w:rsid w:val="00E55CE4"/>
    <w:rsid w:val="00E5603A"/>
    <w:rsid w:val="00E60945"/>
    <w:rsid w:val="00E631E9"/>
    <w:rsid w:val="00E63EF7"/>
    <w:rsid w:val="00E65010"/>
    <w:rsid w:val="00E7098E"/>
    <w:rsid w:val="00E72EB2"/>
    <w:rsid w:val="00E74463"/>
    <w:rsid w:val="00E74AD6"/>
    <w:rsid w:val="00E81B07"/>
    <w:rsid w:val="00E83108"/>
    <w:rsid w:val="00E85E47"/>
    <w:rsid w:val="00E863F2"/>
    <w:rsid w:val="00E86651"/>
    <w:rsid w:val="00E9270B"/>
    <w:rsid w:val="00E9367D"/>
    <w:rsid w:val="00E93912"/>
    <w:rsid w:val="00E93993"/>
    <w:rsid w:val="00E93ECE"/>
    <w:rsid w:val="00EA1B1A"/>
    <w:rsid w:val="00EB1AED"/>
    <w:rsid w:val="00EB2931"/>
    <w:rsid w:val="00EB2AD8"/>
    <w:rsid w:val="00EB403B"/>
    <w:rsid w:val="00EB4214"/>
    <w:rsid w:val="00EB46B9"/>
    <w:rsid w:val="00EB588D"/>
    <w:rsid w:val="00EC1AD1"/>
    <w:rsid w:val="00EC3690"/>
    <w:rsid w:val="00EC383B"/>
    <w:rsid w:val="00EC4920"/>
    <w:rsid w:val="00ED208B"/>
    <w:rsid w:val="00ED72C3"/>
    <w:rsid w:val="00EE0081"/>
    <w:rsid w:val="00EE143A"/>
    <w:rsid w:val="00EE6781"/>
    <w:rsid w:val="00EF4888"/>
    <w:rsid w:val="00EF584B"/>
    <w:rsid w:val="00F0437A"/>
    <w:rsid w:val="00F10489"/>
    <w:rsid w:val="00F14285"/>
    <w:rsid w:val="00F15750"/>
    <w:rsid w:val="00F16EF8"/>
    <w:rsid w:val="00F21C03"/>
    <w:rsid w:val="00F22D90"/>
    <w:rsid w:val="00F22F13"/>
    <w:rsid w:val="00F2534D"/>
    <w:rsid w:val="00F25502"/>
    <w:rsid w:val="00F328D8"/>
    <w:rsid w:val="00F36DCF"/>
    <w:rsid w:val="00F41595"/>
    <w:rsid w:val="00F42D38"/>
    <w:rsid w:val="00F42F1F"/>
    <w:rsid w:val="00F451C1"/>
    <w:rsid w:val="00F47145"/>
    <w:rsid w:val="00F57A1B"/>
    <w:rsid w:val="00F64A98"/>
    <w:rsid w:val="00F711A0"/>
    <w:rsid w:val="00F72C81"/>
    <w:rsid w:val="00F72F16"/>
    <w:rsid w:val="00F7504F"/>
    <w:rsid w:val="00F75A58"/>
    <w:rsid w:val="00F77009"/>
    <w:rsid w:val="00F8107A"/>
    <w:rsid w:val="00F85770"/>
    <w:rsid w:val="00F87AA1"/>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5B0782"/>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5B0782"/>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5B0782"/>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locked/>
    <w:rsid w:val="0045778C"/>
    <w:rPr>
      <w:rFonts w:cs="Times New Roman"/>
      <w:sz w:val="24"/>
      <w:szCs w:val="24"/>
      <w:lang w:val="en-US" w:eastAsia="en-US"/>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5B0782"/>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styleId="CommentSubject">
    <w:name w:val="annotation subject"/>
    <w:basedOn w:val="CommentText"/>
    <w:next w:val="CommentText"/>
    <w:link w:val="CommentSubjectChar"/>
    <w:uiPriority w:val="99"/>
    <w:semiHidden/>
    <w:rsid w:val="00F87AA1"/>
    <w:rPr>
      <w:b/>
      <w:bCs/>
    </w:rPr>
  </w:style>
  <w:style w:type="character" w:customStyle="1" w:styleId="CommentSubjectChar">
    <w:name w:val="Comment Subject Char"/>
    <w:basedOn w:val="CommentTextChar"/>
    <w:link w:val="CommentSubject"/>
    <w:uiPriority w:val="99"/>
    <w:semiHidden/>
    <w:locked/>
    <w:rsid w:val="00F87A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2722</Words>
  <Characters>15521</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2016-02-29T06:36:00Z</cp:lastPrinted>
  <dcterms:created xsi:type="dcterms:W3CDTF">2016-04-04T05:42:00Z</dcterms:created>
  <dcterms:modified xsi:type="dcterms:W3CDTF">2016-04-04T05:42:00Z</dcterms:modified>
</cp:coreProperties>
</file>