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66A4E">
        <w:rPr>
          <w:b/>
          <w:bCs/>
          <w:sz w:val="24"/>
          <w:u w:val="single"/>
        </w:rPr>
        <w:t>425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56AA">
        <w:rPr>
          <w:b/>
          <w:bCs/>
          <w:sz w:val="24"/>
          <w:u w:val="single"/>
        </w:rPr>
        <w:t>26</w:t>
      </w:r>
      <w:r w:rsidR="003124BF">
        <w:rPr>
          <w:b/>
          <w:bCs/>
          <w:sz w:val="24"/>
          <w:u w:val="single"/>
        </w:rPr>
        <w:t xml:space="preserve">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B56AA">
        <w:rPr>
          <w:b/>
          <w:bCs/>
          <w:sz w:val="24"/>
          <w:u w:val="single"/>
        </w:rPr>
        <w:t>7</w:t>
      </w:r>
      <w:r w:rsidRPr="00294557">
        <w:rPr>
          <w:b/>
          <w:bCs/>
          <w:sz w:val="24"/>
          <w:u w:val="single"/>
        </w:rPr>
        <w:t>)</w:t>
      </w:r>
    </w:p>
    <w:p w:rsidR="00766A4E" w:rsidRPr="00766A4E" w:rsidRDefault="00766A4E" w:rsidP="00766A4E">
      <w:pPr>
        <w:spacing w:before="100" w:beforeAutospacing="1" w:after="100" w:afterAutospacing="1"/>
        <w:jc w:val="both"/>
        <w:outlineLvl w:val="0"/>
        <w:rPr>
          <w:b/>
          <w:noProof/>
          <w:sz w:val="24"/>
          <w:u w:val="single"/>
        </w:rPr>
      </w:pPr>
      <w:r w:rsidRPr="00766A4E">
        <w:rPr>
          <w:b/>
          <w:noProof/>
          <w:sz w:val="24"/>
          <w:u w:val="single"/>
        </w:rPr>
        <w:t>Mrs M O Clarke (DA) to ask the Minister of Health</w:t>
      </w:r>
      <w:r w:rsidRPr="00766A4E">
        <w:rPr>
          <w:b/>
          <w:noProof/>
          <w:sz w:val="24"/>
          <w:u w:val="single"/>
        </w:rPr>
        <w:fldChar w:fldCharType="begin"/>
      </w:r>
      <w:r w:rsidRPr="00766A4E">
        <w:rPr>
          <w:u w:val="single"/>
        </w:rPr>
        <w:instrText xml:space="preserve"> XE "</w:instrText>
      </w:r>
      <w:r w:rsidRPr="00766A4E">
        <w:rPr>
          <w:b/>
          <w:noProof/>
          <w:sz w:val="24"/>
          <w:u w:val="single"/>
        </w:rPr>
        <w:instrText>Health</w:instrText>
      </w:r>
      <w:r w:rsidRPr="00766A4E">
        <w:rPr>
          <w:u w:val="single"/>
        </w:rPr>
        <w:instrText xml:space="preserve">" </w:instrText>
      </w:r>
      <w:r w:rsidRPr="00766A4E">
        <w:rPr>
          <w:b/>
          <w:noProof/>
          <w:sz w:val="24"/>
          <w:u w:val="single"/>
        </w:rPr>
        <w:fldChar w:fldCharType="end"/>
      </w:r>
      <w:r w:rsidRPr="00766A4E">
        <w:rPr>
          <w:b/>
          <w:noProof/>
          <w:sz w:val="24"/>
          <w:u w:val="single"/>
        </w:rPr>
        <w:t xml:space="preserve">: </w:t>
      </w:r>
    </w:p>
    <w:p w:rsidR="00766A4E" w:rsidRPr="00766A4E" w:rsidRDefault="00766A4E" w:rsidP="00766A4E">
      <w:pPr>
        <w:spacing w:before="100" w:beforeAutospacing="1" w:after="100" w:afterAutospacing="1"/>
        <w:ind w:left="709" w:hanging="720"/>
        <w:jc w:val="both"/>
        <w:rPr>
          <w:sz w:val="24"/>
        </w:rPr>
      </w:pPr>
      <w:r w:rsidRPr="00766A4E">
        <w:rPr>
          <w:sz w:val="24"/>
        </w:rPr>
        <w:t>(1)</w:t>
      </w:r>
      <w:r w:rsidRPr="00766A4E">
        <w:rPr>
          <w:sz w:val="24"/>
        </w:rPr>
        <w:tab/>
        <w:t>What (a) number of new-born babies have died in public (</w:t>
      </w:r>
      <w:proofErr w:type="spellStart"/>
      <w:r w:rsidRPr="00766A4E">
        <w:rPr>
          <w:sz w:val="24"/>
        </w:rPr>
        <w:t>i</w:t>
      </w:r>
      <w:proofErr w:type="spellEnd"/>
      <w:r w:rsidRPr="00766A4E">
        <w:rPr>
          <w:sz w:val="24"/>
        </w:rPr>
        <w:t>) hospitals and (ii) clinics (aa) in each of the past four years and (bb) since 1 January 2019 and (b) has he found to be the main causes of the deaths;</w:t>
      </w:r>
    </w:p>
    <w:p w:rsidR="00786C98" w:rsidRPr="00730480" w:rsidRDefault="00766A4E" w:rsidP="00766A4E">
      <w:pPr>
        <w:spacing w:before="100" w:beforeAutospacing="1" w:after="100" w:afterAutospacing="1"/>
        <w:ind w:left="709" w:hanging="720"/>
        <w:jc w:val="both"/>
        <w:rPr>
          <w:lang w:eastAsia="en-ZA"/>
        </w:rPr>
      </w:pPr>
      <w:r w:rsidRPr="00766A4E">
        <w:rPr>
          <w:sz w:val="24"/>
        </w:rPr>
        <w:t>(2)</w:t>
      </w:r>
      <w:r w:rsidRPr="00766A4E">
        <w:rPr>
          <w:sz w:val="24"/>
        </w:rPr>
        <w:tab/>
        <w:t>whether any investigations have been conducted into the mortality rate of new-born babies in the public health-care system; if not, why not; if so, what are the (a) relevant details and (b) details of the recommendations?</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w:t>
      </w:r>
      <w:r w:rsidR="00106DD8">
        <w:rPr>
          <w:rFonts w:eastAsia="Calibri"/>
          <w:b/>
          <w:noProof/>
          <w:sz w:val="12"/>
          <w:szCs w:val="12"/>
          <w:lang w:val="af-ZA"/>
        </w:rPr>
        <w:t>3</w:t>
      </w:r>
      <w:r w:rsidR="00766A4E">
        <w:rPr>
          <w:rFonts w:eastAsia="Calibri"/>
          <w:b/>
          <w:noProof/>
          <w:sz w:val="12"/>
          <w:szCs w:val="12"/>
          <w:lang w:val="af-ZA"/>
        </w:rPr>
        <w:t>97</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2742E6" w:rsidRDefault="002742E6" w:rsidP="002742E6">
      <w:pPr>
        <w:rPr>
          <w:sz w:val="24"/>
        </w:rPr>
      </w:pPr>
      <w:r>
        <w:rPr>
          <w:sz w:val="24"/>
        </w:rPr>
        <w:t>(1)</w:t>
      </w:r>
      <w:r>
        <w:rPr>
          <w:sz w:val="24"/>
        </w:rPr>
        <w:tab/>
        <w:t>(a)</w:t>
      </w:r>
      <w:r>
        <w:rPr>
          <w:sz w:val="24"/>
        </w:rPr>
        <w:tab/>
        <w:t>The following table reflects the details in this regard</w:t>
      </w:r>
    </w:p>
    <w:p w:rsidR="002742E6" w:rsidRDefault="002742E6" w:rsidP="002742E6">
      <w:pPr>
        <w:rPr>
          <w:b/>
          <w:sz w:val="24"/>
          <w:u w:val="single"/>
        </w:rPr>
      </w:pPr>
    </w:p>
    <w:tbl>
      <w:tblPr>
        <w:tblStyle w:val="TableGrid"/>
        <w:tblW w:w="8930" w:type="dxa"/>
        <w:tblInd w:w="1413" w:type="dxa"/>
        <w:tblLook w:val="04A0" w:firstRow="1" w:lastRow="0" w:firstColumn="1" w:lastColumn="0" w:noHBand="0" w:noVBand="1"/>
      </w:tblPr>
      <w:tblGrid>
        <w:gridCol w:w="3474"/>
        <w:gridCol w:w="1062"/>
        <w:gridCol w:w="992"/>
        <w:gridCol w:w="1276"/>
        <w:gridCol w:w="992"/>
        <w:gridCol w:w="1134"/>
      </w:tblGrid>
      <w:tr w:rsidR="002742E6" w:rsidRPr="00BA063D" w:rsidTr="002742E6">
        <w:tc>
          <w:tcPr>
            <w:tcW w:w="3474" w:type="dxa"/>
            <w:vMerge w:val="restart"/>
          </w:tcPr>
          <w:p w:rsidR="002742E6" w:rsidRPr="00BA063D" w:rsidRDefault="002742E6" w:rsidP="002742E6">
            <w:pPr>
              <w:rPr>
                <w:sz w:val="24"/>
              </w:rPr>
            </w:pPr>
            <w:r>
              <w:rPr>
                <w:sz w:val="24"/>
              </w:rPr>
              <w:t>(</w:t>
            </w:r>
            <w:r w:rsidRPr="00BA063D">
              <w:rPr>
                <w:sz w:val="24"/>
              </w:rPr>
              <w:t>Neonatal deaths in hospitals, Community Health Centres and Clinics, 2015-2019</w:t>
            </w:r>
          </w:p>
        </w:tc>
        <w:tc>
          <w:tcPr>
            <w:tcW w:w="4322" w:type="dxa"/>
            <w:gridSpan w:val="4"/>
          </w:tcPr>
          <w:p w:rsidR="002742E6" w:rsidRPr="009665A2" w:rsidRDefault="002742E6" w:rsidP="00A71C7A">
            <w:pPr>
              <w:jc w:val="center"/>
              <w:rPr>
                <w:b/>
                <w:sz w:val="24"/>
              </w:rPr>
            </w:pPr>
            <w:r w:rsidRPr="009665A2">
              <w:rPr>
                <w:b/>
                <w:sz w:val="24"/>
              </w:rPr>
              <w:t>(aa)</w:t>
            </w:r>
          </w:p>
        </w:tc>
        <w:tc>
          <w:tcPr>
            <w:tcW w:w="1134" w:type="dxa"/>
          </w:tcPr>
          <w:p w:rsidR="002742E6" w:rsidRPr="009665A2" w:rsidRDefault="002742E6" w:rsidP="00A71C7A">
            <w:pPr>
              <w:jc w:val="center"/>
              <w:rPr>
                <w:b/>
                <w:sz w:val="24"/>
              </w:rPr>
            </w:pPr>
            <w:r w:rsidRPr="009665A2">
              <w:rPr>
                <w:b/>
                <w:sz w:val="24"/>
              </w:rPr>
              <w:t>(bb)</w:t>
            </w:r>
          </w:p>
        </w:tc>
      </w:tr>
      <w:tr w:rsidR="002742E6" w:rsidRPr="00BA063D" w:rsidTr="002742E6">
        <w:tc>
          <w:tcPr>
            <w:tcW w:w="3474" w:type="dxa"/>
            <w:vMerge/>
          </w:tcPr>
          <w:p w:rsidR="002742E6" w:rsidRPr="00BA063D" w:rsidRDefault="002742E6" w:rsidP="00A71C7A">
            <w:pPr>
              <w:rPr>
                <w:sz w:val="24"/>
              </w:rPr>
            </w:pPr>
          </w:p>
        </w:tc>
        <w:tc>
          <w:tcPr>
            <w:tcW w:w="1062" w:type="dxa"/>
          </w:tcPr>
          <w:p w:rsidR="002742E6" w:rsidRPr="009665A2" w:rsidRDefault="002742E6" w:rsidP="00A71C7A">
            <w:pPr>
              <w:jc w:val="center"/>
              <w:rPr>
                <w:b/>
                <w:sz w:val="24"/>
              </w:rPr>
            </w:pPr>
            <w:r w:rsidRPr="009665A2">
              <w:rPr>
                <w:b/>
                <w:sz w:val="24"/>
              </w:rPr>
              <w:t>2015</w:t>
            </w:r>
          </w:p>
        </w:tc>
        <w:tc>
          <w:tcPr>
            <w:tcW w:w="992" w:type="dxa"/>
          </w:tcPr>
          <w:p w:rsidR="002742E6" w:rsidRPr="009665A2" w:rsidRDefault="002742E6" w:rsidP="00A71C7A">
            <w:pPr>
              <w:jc w:val="center"/>
              <w:rPr>
                <w:b/>
                <w:sz w:val="24"/>
              </w:rPr>
            </w:pPr>
            <w:r w:rsidRPr="009665A2">
              <w:rPr>
                <w:b/>
                <w:sz w:val="24"/>
              </w:rPr>
              <w:t>2016</w:t>
            </w:r>
          </w:p>
        </w:tc>
        <w:tc>
          <w:tcPr>
            <w:tcW w:w="1276" w:type="dxa"/>
          </w:tcPr>
          <w:p w:rsidR="002742E6" w:rsidRPr="009665A2" w:rsidRDefault="002742E6" w:rsidP="00A71C7A">
            <w:pPr>
              <w:jc w:val="center"/>
              <w:rPr>
                <w:b/>
                <w:sz w:val="24"/>
              </w:rPr>
            </w:pPr>
            <w:r w:rsidRPr="009665A2">
              <w:rPr>
                <w:b/>
                <w:sz w:val="24"/>
              </w:rPr>
              <w:t>2017</w:t>
            </w:r>
          </w:p>
        </w:tc>
        <w:tc>
          <w:tcPr>
            <w:tcW w:w="992" w:type="dxa"/>
          </w:tcPr>
          <w:p w:rsidR="002742E6" w:rsidRPr="009665A2" w:rsidRDefault="002742E6" w:rsidP="00A71C7A">
            <w:pPr>
              <w:jc w:val="center"/>
              <w:rPr>
                <w:b/>
                <w:sz w:val="24"/>
              </w:rPr>
            </w:pPr>
            <w:r w:rsidRPr="009665A2">
              <w:rPr>
                <w:b/>
                <w:sz w:val="24"/>
              </w:rPr>
              <w:t>2018</w:t>
            </w:r>
          </w:p>
        </w:tc>
        <w:tc>
          <w:tcPr>
            <w:tcW w:w="1134" w:type="dxa"/>
          </w:tcPr>
          <w:p w:rsidR="002742E6" w:rsidRPr="009665A2" w:rsidRDefault="002742E6" w:rsidP="00A71C7A">
            <w:pPr>
              <w:jc w:val="center"/>
              <w:rPr>
                <w:b/>
                <w:sz w:val="24"/>
              </w:rPr>
            </w:pPr>
            <w:r w:rsidRPr="009665A2">
              <w:rPr>
                <w:b/>
                <w:sz w:val="24"/>
              </w:rPr>
              <w:t>2019</w:t>
            </w:r>
          </w:p>
        </w:tc>
      </w:tr>
      <w:tr w:rsidR="002742E6" w:rsidRPr="00BA063D" w:rsidTr="002742E6">
        <w:tc>
          <w:tcPr>
            <w:tcW w:w="3474" w:type="dxa"/>
          </w:tcPr>
          <w:p w:rsidR="002742E6" w:rsidRPr="00BA063D" w:rsidRDefault="002742E6" w:rsidP="002742E6">
            <w:pPr>
              <w:tabs>
                <w:tab w:val="right" w:pos="171"/>
              </w:tabs>
              <w:ind w:left="597" w:hanging="597"/>
              <w:rPr>
                <w:sz w:val="24"/>
              </w:rPr>
            </w:pPr>
            <w:r>
              <w:rPr>
                <w:sz w:val="24"/>
              </w:rPr>
              <w:tab/>
              <w:t>(</w:t>
            </w:r>
            <w:proofErr w:type="spellStart"/>
            <w:r>
              <w:rPr>
                <w:sz w:val="24"/>
              </w:rPr>
              <w:t>i</w:t>
            </w:r>
            <w:proofErr w:type="spellEnd"/>
            <w:r>
              <w:rPr>
                <w:sz w:val="24"/>
              </w:rPr>
              <w:t>)</w:t>
            </w:r>
            <w:r>
              <w:rPr>
                <w:sz w:val="24"/>
              </w:rPr>
              <w:tab/>
            </w:r>
            <w:r w:rsidRPr="00BA063D">
              <w:rPr>
                <w:sz w:val="24"/>
              </w:rPr>
              <w:t>Neonatal deaths/1000 live births: Hospitals (public and Private)</w:t>
            </w:r>
          </w:p>
        </w:tc>
        <w:tc>
          <w:tcPr>
            <w:tcW w:w="1062" w:type="dxa"/>
          </w:tcPr>
          <w:p w:rsidR="002742E6" w:rsidRPr="00BA063D" w:rsidRDefault="002742E6" w:rsidP="00A71C7A">
            <w:pPr>
              <w:jc w:val="right"/>
              <w:rPr>
                <w:sz w:val="24"/>
              </w:rPr>
            </w:pPr>
            <w:r w:rsidRPr="00BA063D">
              <w:rPr>
                <w:sz w:val="24"/>
              </w:rPr>
              <w:t>16</w:t>
            </w:r>
            <w:r>
              <w:rPr>
                <w:sz w:val="24"/>
              </w:rPr>
              <w:t>.3</w:t>
            </w:r>
          </w:p>
        </w:tc>
        <w:tc>
          <w:tcPr>
            <w:tcW w:w="992" w:type="dxa"/>
          </w:tcPr>
          <w:p w:rsidR="002742E6" w:rsidRPr="00BA063D" w:rsidRDefault="002742E6" w:rsidP="00A71C7A">
            <w:pPr>
              <w:jc w:val="right"/>
              <w:rPr>
                <w:sz w:val="24"/>
              </w:rPr>
            </w:pPr>
            <w:r w:rsidRPr="00BA063D">
              <w:rPr>
                <w:sz w:val="24"/>
              </w:rPr>
              <w:t>15</w:t>
            </w:r>
            <w:r>
              <w:rPr>
                <w:sz w:val="24"/>
              </w:rPr>
              <w:t>.3</w:t>
            </w:r>
          </w:p>
        </w:tc>
        <w:tc>
          <w:tcPr>
            <w:tcW w:w="1276" w:type="dxa"/>
          </w:tcPr>
          <w:p w:rsidR="002742E6" w:rsidRPr="00BA063D" w:rsidRDefault="002742E6" w:rsidP="00A71C7A">
            <w:pPr>
              <w:jc w:val="right"/>
              <w:rPr>
                <w:sz w:val="24"/>
              </w:rPr>
            </w:pPr>
            <w:r>
              <w:rPr>
                <w:sz w:val="24"/>
              </w:rPr>
              <w:t>14.8</w:t>
            </w:r>
          </w:p>
        </w:tc>
        <w:tc>
          <w:tcPr>
            <w:tcW w:w="992" w:type="dxa"/>
          </w:tcPr>
          <w:p w:rsidR="002742E6" w:rsidRPr="00BA063D" w:rsidRDefault="002742E6" w:rsidP="00A71C7A">
            <w:pPr>
              <w:jc w:val="right"/>
              <w:rPr>
                <w:sz w:val="24"/>
              </w:rPr>
            </w:pPr>
            <w:r w:rsidRPr="00BA063D">
              <w:rPr>
                <w:sz w:val="24"/>
              </w:rPr>
              <w:t>14</w:t>
            </w:r>
            <w:r>
              <w:rPr>
                <w:sz w:val="24"/>
              </w:rPr>
              <w:t>.5</w:t>
            </w:r>
          </w:p>
        </w:tc>
        <w:tc>
          <w:tcPr>
            <w:tcW w:w="1134" w:type="dxa"/>
          </w:tcPr>
          <w:p w:rsidR="002742E6" w:rsidRPr="00BA063D" w:rsidRDefault="002742E6" w:rsidP="00A71C7A">
            <w:pPr>
              <w:jc w:val="right"/>
              <w:rPr>
                <w:sz w:val="24"/>
              </w:rPr>
            </w:pPr>
            <w:r w:rsidRPr="00BA063D">
              <w:rPr>
                <w:sz w:val="24"/>
              </w:rPr>
              <w:t>14</w:t>
            </w:r>
            <w:r>
              <w:rPr>
                <w:sz w:val="24"/>
              </w:rPr>
              <w:t>.6</w:t>
            </w:r>
          </w:p>
        </w:tc>
      </w:tr>
      <w:tr w:rsidR="002742E6" w:rsidRPr="00BA063D" w:rsidTr="002742E6">
        <w:tc>
          <w:tcPr>
            <w:tcW w:w="3474" w:type="dxa"/>
          </w:tcPr>
          <w:p w:rsidR="002742E6" w:rsidRPr="00BA063D" w:rsidRDefault="002742E6" w:rsidP="002742E6">
            <w:pPr>
              <w:ind w:left="597" w:hanging="567"/>
              <w:rPr>
                <w:sz w:val="24"/>
              </w:rPr>
            </w:pPr>
            <w:r>
              <w:rPr>
                <w:sz w:val="24"/>
              </w:rPr>
              <w:t>(ii)</w:t>
            </w:r>
            <w:r>
              <w:rPr>
                <w:sz w:val="24"/>
              </w:rPr>
              <w:tab/>
            </w:r>
            <w:r w:rsidRPr="00BA063D">
              <w:rPr>
                <w:sz w:val="24"/>
              </w:rPr>
              <w:t>Neonatal deaths/1000 live births: clinics and CHCs (public only)</w:t>
            </w:r>
          </w:p>
        </w:tc>
        <w:tc>
          <w:tcPr>
            <w:tcW w:w="1062" w:type="dxa"/>
          </w:tcPr>
          <w:p w:rsidR="002742E6" w:rsidRPr="00BA063D" w:rsidRDefault="002742E6" w:rsidP="00A71C7A">
            <w:pPr>
              <w:jc w:val="right"/>
              <w:rPr>
                <w:sz w:val="24"/>
              </w:rPr>
            </w:pPr>
            <w:r w:rsidRPr="00BA063D">
              <w:rPr>
                <w:sz w:val="24"/>
              </w:rPr>
              <w:t>0.9</w:t>
            </w:r>
          </w:p>
        </w:tc>
        <w:tc>
          <w:tcPr>
            <w:tcW w:w="992" w:type="dxa"/>
          </w:tcPr>
          <w:p w:rsidR="002742E6" w:rsidRPr="00BA063D" w:rsidRDefault="002742E6" w:rsidP="00A71C7A">
            <w:pPr>
              <w:jc w:val="right"/>
              <w:rPr>
                <w:sz w:val="24"/>
              </w:rPr>
            </w:pPr>
            <w:r w:rsidRPr="00BA063D">
              <w:rPr>
                <w:sz w:val="24"/>
              </w:rPr>
              <w:t>1.1</w:t>
            </w:r>
          </w:p>
        </w:tc>
        <w:tc>
          <w:tcPr>
            <w:tcW w:w="1276" w:type="dxa"/>
          </w:tcPr>
          <w:p w:rsidR="002742E6" w:rsidRPr="00BA063D" w:rsidRDefault="002742E6" w:rsidP="00A71C7A">
            <w:pPr>
              <w:jc w:val="right"/>
              <w:rPr>
                <w:sz w:val="24"/>
              </w:rPr>
            </w:pPr>
            <w:r w:rsidRPr="00BA063D">
              <w:rPr>
                <w:sz w:val="24"/>
              </w:rPr>
              <w:t>1.5</w:t>
            </w:r>
          </w:p>
        </w:tc>
        <w:tc>
          <w:tcPr>
            <w:tcW w:w="992" w:type="dxa"/>
          </w:tcPr>
          <w:p w:rsidR="002742E6" w:rsidRPr="00BA063D" w:rsidRDefault="002742E6" w:rsidP="00A71C7A">
            <w:pPr>
              <w:jc w:val="right"/>
              <w:rPr>
                <w:sz w:val="24"/>
              </w:rPr>
            </w:pPr>
            <w:r w:rsidRPr="00BA063D">
              <w:rPr>
                <w:sz w:val="24"/>
              </w:rPr>
              <w:t>1.2</w:t>
            </w:r>
          </w:p>
        </w:tc>
        <w:tc>
          <w:tcPr>
            <w:tcW w:w="1134" w:type="dxa"/>
          </w:tcPr>
          <w:p w:rsidR="002742E6" w:rsidRPr="00BA063D" w:rsidRDefault="002742E6" w:rsidP="00A71C7A">
            <w:pPr>
              <w:jc w:val="right"/>
              <w:rPr>
                <w:sz w:val="24"/>
              </w:rPr>
            </w:pPr>
            <w:r w:rsidRPr="00BA063D">
              <w:rPr>
                <w:sz w:val="24"/>
              </w:rPr>
              <w:t>1.2</w:t>
            </w:r>
          </w:p>
        </w:tc>
      </w:tr>
    </w:tbl>
    <w:p w:rsidR="002742E6" w:rsidRDefault="002742E6" w:rsidP="002742E6"/>
    <w:p w:rsidR="002742E6" w:rsidRDefault="002742E6" w:rsidP="002742E6">
      <w:pPr>
        <w:ind w:left="1440" w:hanging="720"/>
        <w:rPr>
          <w:sz w:val="24"/>
        </w:rPr>
      </w:pPr>
      <w:r w:rsidRPr="00F67823">
        <w:rPr>
          <w:sz w:val="24"/>
        </w:rPr>
        <w:t>(b)</w:t>
      </w:r>
      <w:r>
        <w:rPr>
          <w:sz w:val="24"/>
        </w:rPr>
        <w:tab/>
        <w:t xml:space="preserve">The main causes of </w:t>
      </w:r>
      <w:proofErr w:type="spellStart"/>
      <w:r>
        <w:rPr>
          <w:sz w:val="24"/>
        </w:rPr>
        <w:t>newborn</w:t>
      </w:r>
      <w:proofErr w:type="spellEnd"/>
      <w:r>
        <w:rPr>
          <w:sz w:val="24"/>
        </w:rPr>
        <w:t xml:space="preserve"> deaths (source: Saving Babies Report, 2014-2016) are:</w:t>
      </w:r>
    </w:p>
    <w:p w:rsidR="002742E6" w:rsidRDefault="002742E6" w:rsidP="002742E6">
      <w:pPr>
        <w:ind w:left="1440" w:hanging="720"/>
        <w:rPr>
          <w:sz w:val="24"/>
        </w:rPr>
      </w:pPr>
    </w:p>
    <w:p w:rsidR="002742E6" w:rsidRDefault="002742E6" w:rsidP="002742E6">
      <w:pPr>
        <w:pStyle w:val="ListParagraph"/>
        <w:tabs>
          <w:tab w:val="right" w:pos="1276"/>
        </w:tabs>
        <w:spacing w:after="160" w:line="259" w:lineRule="auto"/>
        <w:ind w:left="1560" w:hanging="142"/>
        <w:rPr>
          <w:sz w:val="24"/>
        </w:rPr>
      </w:pPr>
      <w:r>
        <w:rPr>
          <w:sz w:val="24"/>
        </w:rPr>
        <w:tab/>
      </w:r>
      <w:proofErr w:type="spellStart"/>
      <w:r>
        <w:rPr>
          <w:sz w:val="24"/>
        </w:rPr>
        <w:t>i</w:t>
      </w:r>
      <w:proofErr w:type="spellEnd"/>
      <w:r>
        <w:rPr>
          <w:sz w:val="24"/>
        </w:rPr>
        <w:t>.</w:t>
      </w:r>
      <w:r>
        <w:rPr>
          <w:sz w:val="24"/>
        </w:rPr>
        <w:tab/>
        <w:t>Immaturity related causes;</w:t>
      </w:r>
    </w:p>
    <w:p w:rsidR="002742E6" w:rsidRDefault="002742E6" w:rsidP="002742E6">
      <w:pPr>
        <w:pStyle w:val="ListParagraph"/>
        <w:tabs>
          <w:tab w:val="right" w:pos="1276"/>
        </w:tabs>
        <w:spacing w:after="160" w:line="259" w:lineRule="auto"/>
        <w:ind w:left="1560" w:hanging="142"/>
        <w:rPr>
          <w:sz w:val="24"/>
        </w:rPr>
      </w:pPr>
      <w:r>
        <w:rPr>
          <w:sz w:val="24"/>
        </w:rPr>
        <w:tab/>
        <w:t>ii.</w:t>
      </w:r>
      <w:r>
        <w:rPr>
          <w:sz w:val="24"/>
        </w:rPr>
        <w:tab/>
        <w:t>Hypoxia;</w:t>
      </w:r>
    </w:p>
    <w:p w:rsidR="002742E6" w:rsidRDefault="002742E6" w:rsidP="002742E6">
      <w:pPr>
        <w:pStyle w:val="ListParagraph"/>
        <w:tabs>
          <w:tab w:val="right" w:pos="1276"/>
        </w:tabs>
        <w:spacing w:after="160" w:line="259" w:lineRule="auto"/>
        <w:ind w:left="1560" w:hanging="142"/>
        <w:rPr>
          <w:sz w:val="24"/>
        </w:rPr>
      </w:pPr>
      <w:r>
        <w:rPr>
          <w:sz w:val="24"/>
        </w:rPr>
        <w:tab/>
        <w:t>iii.</w:t>
      </w:r>
      <w:r>
        <w:rPr>
          <w:sz w:val="24"/>
        </w:rPr>
        <w:tab/>
        <w:t xml:space="preserve">Infections, mostly associated with HIV;  and </w:t>
      </w:r>
    </w:p>
    <w:p w:rsidR="002742E6" w:rsidRDefault="002742E6" w:rsidP="002742E6">
      <w:pPr>
        <w:pStyle w:val="ListParagraph"/>
        <w:tabs>
          <w:tab w:val="right" w:pos="1276"/>
        </w:tabs>
        <w:spacing w:after="160" w:line="259" w:lineRule="auto"/>
        <w:ind w:left="1560" w:hanging="142"/>
        <w:rPr>
          <w:sz w:val="24"/>
        </w:rPr>
      </w:pPr>
      <w:r>
        <w:rPr>
          <w:sz w:val="24"/>
        </w:rPr>
        <w:tab/>
        <w:t>iv.</w:t>
      </w:r>
      <w:r>
        <w:rPr>
          <w:sz w:val="24"/>
        </w:rPr>
        <w:tab/>
        <w:t>Congenital abnormalities.</w:t>
      </w:r>
    </w:p>
    <w:p w:rsidR="002742E6" w:rsidRPr="00F67823" w:rsidRDefault="002742E6" w:rsidP="002742E6">
      <w:pPr>
        <w:rPr>
          <w:sz w:val="24"/>
          <w:u w:val="single"/>
        </w:rPr>
      </w:pPr>
      <w:r>
        <w:rPr>
          <w:sz w:val="24"/>
        </w:rPr>
        <w:t>(2)</w:t>
      </w:r>
      <w:r>
        <w:rPr>
          <w:sz w:val="24"/>
        </w:rPr>
        <w:tab/>
      </w:r>
      <w:r>
        <w:rPr>
          <w:sz w:val="24"/>
        </w:rPr>
        <w:t>(a)</w:t>
      </w:r>
      <w:r>
        <w:rPr>
          <w:sz w:val="24"/>
        </w:rPr>
        <w:tab/>
      </w:r>
      <w:r w:rsidRPr="00F67823">
        <w:rPr>
          <w:b/>
          <w:sz w:val="24"/>
          <w:u w:val="single"/>
        </w:rPr>
        <w:t>Relevant details of investigations in causes of mortality:</w:t>
      </w:r>
    </w:p>
    <w:p w:rsidR="002742E6" w:rsidRDefault="002742E6" w:rsidP="002742E6">
      <w:pPr>
        <w:ind w:left="851"/>
        <w:jc w:val="both"/>
        <w:rPr>
          <w:sz w:val="24"/>
        </w:rPr>
      </w:pPr>
    </w:p>
    <w:p w:rsidR="002742E6" w:rsidRDefault="002742E6" w:rsidP="002742E6">
      <w:pPr>
        <w:ind w:left="1440"/>
        <w:jc w:val="both"/>
        <w:rPr>
          <w:sz w:val="24"/>
        </w:rPr>
      </w:pPr>
      <w:r>
        <w:rPr>
          <w:sz w:val="24"/>
        </w:rPr>
        <w:t xml:space="preserve">The National Perinatal Morbidity and Mortality Committee - a Ministerial Committee appointed since 2012 is mandated to report on the number and causes of neonatal mortality. The Committee reviews data from all available sources such as the District Health Information System, the Perinatal Problem Identification Programme and </w:t>
      </w:r>
      <w:proofErr w:type="spellStart"/>
      <w:r>
        <w:rPr>
          <w:sz w:val="24"/>
        </w:rPr>
        <w:t>StatSA</w:t>
      </w:r>
      <w:proofErr w:type="spellEnd"/>
      <w:r>
        <w:rPr>
          <w:sz w:val="24"/>
        </w:rPr>
        <w:t xml:space="preserve"> data to determine mortality rates. The Committee prepares reports and presents the report to the Minister and the National Health Council.</w:t>
      </w:r>
    </w:p>
    <w:p w:rsidR="002742E6" w:rsidRDefault="002742E6" w:rsidP="002742E6">
      <w:pPr>
        <w:ind w:left="851" w:hanging="851"/>
        <w:rPr>
          <w:sz w:val="24"/>
        </w:rPr>
      </w:pPr>
    </w:p>
    <w:p w:rsidR="002742E6" w:rsidRDefault="002742E6" w:rsidP="002742E6">
      <w:pPr>
        <w:ind w:left="851" w:hanging="131"/>
        <w:rPr>
          <w:sz w:val="24"/>
        </w:rPr>
      </w:pPr>
    </w:p>
    <w:p w:rsidR="002742E6" w:rsidRDefault="002742E6" w:rsidP="002742E6">
      <w:pPr>
        <w:ind w:left="851" w:hanging="131"/>
        <w:rPr>
          <w:sz w:val="24"/>
        </w:rPr>
      </w:pPr>
    </w:p>
    <w:p w:rsidR="002742E6" w:rsidRDefault="002742E6" w:rsidP="002742E6">
      <w:pPr>
        <w:ind w:left="851" w:hanging="131"/>
        <w:rPr>
          <w:sz w:val="24"/>
        </w:rPr>
      </w:pPr>
    </w:p>
    <w:p w:rsidR="002742E6" w:rsidRDefault="002742E6" w:rsidP="002742E6">
      <w:pPr>
        <w:ind w:left="851" w:hanging="131"/>
        <w:rPr>
          <w:b/>
          <w:sz w:val="24"/>
          <w:u w:val="single"/>
        </w:rPr>
      </w:pPr>
      <w:r>
        <w:rPr>
          <w:sz w:val="24"/>
        </w:rPr>
        <w:lastRenderedPageBreak/>
        <w:t>(b)</w:t>
      </w:r>
      <w:r>
        <w:rPr>
          <w:sz w:val="24"/>
        </w:rPr>
        <w:tab/>
      </w:r>
      <w:r w:rsidRPr="00F67823">
        <w:rPr>
          <w:b/>
          <w:sz w:val="24"/>
          <w:u w:val="single"/>
        </w:rPr>
        <w:t>Details of recommendations:</w:t>
      </w:r>
    </w:p>
    <w:p w:rsidR="002742E6" w:rsidRDefault="002742E6" w:rsidP="002742E6">
      <w:pPr>
        <w:ind w:left="851"/>
        <w:rPr>
          <w:sz w:val="24"/>
        </w:rPr>
      </w:pPr>
    </w:p>
    <w:p w:rsidR="002742E6" w:rsidRDefault="002742E6" w:rsidP="002742E6">
      <w:pPr>
        <w:ind w:left="1440"/>
        <w:rPr>
          <w:sz w:val="24"/>
        </w:rPr>
      </w:pPr>
      <w:r>
        <w:rPr>
          <w:sz w:val="24"/>
        </w:rPr>
        <w:t>Recommendations to reduce neonatal mortality (Saving Babies Report, 2014-2016) are:</w:t>
      </w:r>
    </w:p>
    <w:p w:rsidR="002742E6" w:rsidRDefault="002742E6" w:rsidP="002742E6">
      <w:pPr>
        <w:pStyle w:val="ListParagraph"/>
        <w:tabs>
          <w:tab w:val="right" w:pos="1276"/>
        </w:tabs>
        <w:spacing w:before="120" w:line="259" w:lineRule="auto"/>
        <w:ind w:left="1418"/>
        <w:contextualSpacing w:val="0"/>
        <w:rPr>
          <w:sz w:val="24"/>
        </w:rPr>
      </w:pPr>
      <w:r>
        <w:rPr>
          <w:sz w:val="24"/>
        </w:rPr>
        <w:tab/>
      </w:r>
      <w:proofErr w:type="spellStart"/>
      <w:r>
        <w:rPr>
          <w:sz w:val="24"/>
        </w:rPr>
        <w:t>i</w:t>
      </w:r>
      <w:proofErr w:type="spellEnd"/>
      <w:r>
        <w:rPr>
          <w:sz w:val="24"/>
        </w:rPr>
        <w:t>.</w:t>
      </w:r>
      <w:r>
        <w:rPr>
          <w:sz w:val="24"/>
        </w:rPr>
        <w:tab/>
        <w:t>Scale up Helping Babies Breathe skills;</w:t>
      </w:r>
    </w:p>
    <w:p w:rsidR="002742E6" w:rsidRDefault="002742E6" w:rsidP="002742E6">
      <w:pPr>
        <w:pStyle w:val="ListParagraph"/>
        <w:tabs>
          <w:tab w:val="right" w:pos="1418"/>
        </w:tabs>
        <w:spacing w:before="120" w:line="259" w:lineRule="auto"/>
        <w:ind w:left="2153" w:hanging="735"/>
        <w:contextualSpacing w:val="0"/>
        <w:rPr>
          <w:sz w:val="24"/>
        </w:rPr>
      </w:pPr>
      <w:r>
        <w:rPr>
          <w:sz w:val="24"/>
        </w:rPr>
        <w:t>ii.</w:t>
      </w:r>
      <w:r>
        <w:rPr>
          <w:sz w:val="24"/>
        </w:rPr>
        <w:tab/>
        <w:t>Continue with the implementation of the management of small and sick neonates programme;</w:t>
      </w:r>
    </w:p>
    <w:p w:rsidR="002742E6" w:rsidRDefault="002742E6" w:rsidP="002742E6">
      <w:pPr>
        <w:pStyle w:val="ListParagraph"/>
        <w:tabs>
          <w:tab w:val="right" w:pos="1276"/>
        </w:tabs>
        <w:spacing w:before="120" w:line="259" w:lineRule="auto"/>
        <w:ind w:left="2153" w:hanging="735"/>
        <w:contextualSpacing w:val="0"/>
        <w:rPr>
          <w:sz w:val="24"/>
        </w:rPr>
      </w:pPr>
      <w:r>
        <w:rPr>
          <w:sz w:val="24"/>
        </w:rPr>
        <w:t>iii.</w:t>
      </w:r>
      <w:r>
        <w:rPr>
          <w:sz w:val="24"/>
        </w:rPr>
        <w:tab/>
        <w:t>Continue with scale-up of continuous positive airway pressure (CPAP) intervention;</w:t>
      </w:r>
    </w:p>
    <w:p w:rsidR="002742E6" w:rsidRDefault="002742E6" w:rsidP="002742E6">
      <w:pPr>
        <w:pStyle w:val="ListParagraph"/>
        <w:tabs>
          <w:tab w:val="right" w:pos="1276"/>
        </w:tabs>
        <w:spacing w:before="120" w:line="259" w:lineRule="auto"/>
        <w:ind w:left="1418"/>
        <w:contextualSpacing w:val="0"/>
        <w:rPr>
          <w:sz w:val="24"/>
        </w:rPr>
      </w:pPr>
      <w:r>
        <w:rPr>
          <w:sz w:val="24"/>
        </w:rPr>
        <w:tab/>
        <w:t>iv.</w:t>
      </w:r>
      <w:r>
        <w:rPr>
          <w:sz w:val="24"/>
        </w:rPr>
        <w:tab/>
        <w:t xml:space="preserve">Focus on intrapartum care;  and </w:t>
      </w:r>
    </w:p>
    <w:p w:rsidR="002742E6" w:rsidRPr="00157ADC" w:rsidRDefault="002742E6" w:rsidP="002742E6">
      <w:pPr>
        <w:pStyle w:val="ListParagraph"/>
        <w:tabs>
          <w:tab w:val="right" w:pos="1276"/>
        </w:tabs>
        <w:spacing w:before="120" w:line="259" w:lineRule="auto"/>
        <w:ind w:left="1418"/>
        <w:contextualSpacing w:val="0"/>
        <w:rPr>
          <w:sz w:val="24"/>
        </w:rPr>
      </w:pPr>
      <w:bookmarkStart w:id="0" w:name="_GoBack"/>
      <w:bookmarkEnd w:id="0"/>
      <w:r>
        <w:rPr>
          <w:sz w:val="24"/>
        </w:rPr>
        <w:tab/>
        <w:t>v.</w:t>
      </w:r>
      <w:r>
        <w:rPr>
          <w:sz w:val="24"/>
        </w:rPr>
        <w:tab/>
        <w:t>Scale up Basic Antenatal Care plus.</w:t>
      </w:r>
    </w:p>
    <w:p w:rsidR="00BB311A" w:rsidRDefault="00BB311A" w:rsidP="001346BB">
      <w:pPr>
        <w:tabs>
          <w:tab w:val="left" w:pos="709"/>
        </w:tabs>
        <w:ind w:left="1418" w:hanging="1418"/>
        <w:rPr>
          <w:sz w:val="24"/>
        </w:rPr>
      </w:pPr>
    </w:p>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5A" w:rsidRDefault="00A1505A">
      <w:r>
        <w:separator/>
      </w:r>
    </w:p>
  </w:endnote>
  <w:endnote w:type="continuationSeparator" w:id="0">
    <w:p w:rsidR="00A1505A" w:rsidRDefault="00A1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742E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5A" w:rsidRDefault="00A1505A">
      <w:r>
        <w:separator/>
      </w:r>
    </w:p>
  </w:footnote>
  <w:footnote w:type="continuationSeparator" w:id="0">
    <w:p w:rsidR="00A1505A" w:rsidRDefault="00A15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0C49"/>
    <w:rsid w:val="002242A9"/>
    <w:rsid w:val="00233C3B"/>
    <w:rsid w:val="0024216E"/>
    <w:rsid w:val="002519F4"/>
    <w:rsid w:val="0026455A"/>
    <w:rsid w:val="0026455E"/>
    <w:rsid w:val="00267FDF"/>
    <w:rsid w:val="00271665"/>
    <w:rsid w:val="002742E6"/>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505A"/>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82ED2"/>
    <w:rsid w:val="00E85240"/>
    <w:rsid w:val="00EA05F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1840B"/>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2019-09-13T09:49:00Z</cp:lastPrinted>
  <dcterms:created xsi:type="dcterms:W3CDTF">2019-09-13T08:34:00Z</dcterms:created>
  <dcterms:modified xsi:type="dcterms:W3CDTF">2019-09-13T09:49:00Z</dcterms:modified>
</cp:coreProperties>
</file>