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56" w:rsidRPr="00370B4B" w:rsidRDefault="00807C56" w:rsidP="00807C56">
      <w:pPr>
        <w:autoSpaceDE w:val="0"/>
        <w:autoSpaceDN w:val="0"/>
        <w:adjustRightInd w:val="0"/>
        <w:spacing w:after="0" w:line="240" w:lineRule="auto"/>
        <w:jc w:val="center"/>
        <w:rPr>
          <w:rFonts w:ascii="Arial" w:hAnsi="Arial" w:cs="Arial"/>
          <w:b/>
          <w:sz w:val="20"/>
          <w:szCs w:val="20"/>
        </w:rPr>
      </w:pPr>
      <w:r w:rsidRPr="00370B4B">
        <w:rPr>
          <w:rFonts w:ascii="Arial" w:hAnsi="Arial" w:cs="Arial"/>
          <w:b/>
          <w:sz w:val="20"/>
          <w:szCs w:val="20"/>
        </w:rPr>
        <w:t>MINISTRY</w:t>
      </w:r>
    </w:p>
    <w:p w:rsidR="00807C56" w:rsidRPr="00370B4B" w:rsidRDefault="00807C56" w:rsidP="00807C56">
      <w:pPr>
        <w:autoSpaceDE w:val="0"/>
        <w:autoSpaceDN w:val="0"/>
        <w:adjustRightInd w:val="0"/>
        <w:spacing w:after="0" w:line="240" w:lineRule="auto"/>
        <w:jc w:val="center"/>
        <w:rPr>
          <w:rFonts w:ascii="Arial" w:hAnsi="Arial" w:cs="Arial"/>
          <w:b/>
          <w:sz w:val="20"/>
          <w:szCs w:val="20"/>
        </w:rPr>
      </w:pPr>
      <w:r w:rsidRPr="00370B4B">
        <w:rPr>
          <w:rFonts w:ascii="Arial" w:hAnsi="Arial" w:cs="Arial"/>
          <w:b/>
          <w:sz w:val="20"/>
          <w:szCs w:val="20"/>
        </w:rPr>
        <w:t>COOPERATIVE GOVERNANCE AND TRADITIONAL AFFAIRS</w:t>
      </w:r>
    </w:p>
    <w:p w:rsidR="00807C56" w:rsidRPr="00370B4B" w:rsidRDefault="00807C56" w:rsidP="00807C56">
      <w:pPr>
        <w:autoSpaceDE w:val="0"/>
        <w:autoSpaceDN w:val="0"/>
        <w:adjustRightInd w:val="0"/>
        <w:spacing w:after="0" w:line="240" w:lineRule="auto"/>
        <w:jc w:val="center"/>
        <w:rPr>
          <w:rFonts w:ascii="Arial" w:hAnsi="Arial" w:cs="Arial"/>
          <w:b/>
          <w:sz w:val="20"/>
          <w:szCs w:val="20"/>
        </w:rPr>
      </w:pPr>
      <w:r w:rsidRPr="00370B4B">
        <w:rPr>
          <w:rFonts w:ascii="Arial" w:hAnsi="Arial" w:cs="Arial"/>
          <w:b/>
          <w:sz w:val="20"/>
          <w:szCs w:val="20"/>
        </w:rPr>
        <w:t>REPUBLIC OF SOUTH AFRICA</w:t>
      </w:r>
    </w:p>
    <w:p w:rsidR="00807C56" w:rsidRPr="00370B4B" w:rsidRDefault="00807C56" w:rsidP="00807C56">
      <w:pPr>
        <w:autoSpaceDE w:val="0"/>
        <w:autoSpaceDN w:val="0"/>
        <w:adjustRightInd w:val="0"/>
        <w:spacing w:after="0" w:line="240" w:lineRule="auto"/>
        <w:jc w:val="center"/>
        <w:rPr>
          <w:rFonts w:ascii="Arial" w:hAnsi="Arial" w:cs="Arial"/>
          <w:b/>
          <w:sz w:val="20"/>
          <w:szCs w:val="20"/>
        </w:rPr>
      </w:pPr>
      <w:r w:rsidRPr="00370B4B">
        <w:rPr>
          <w:rFonts w:ascii="Arial" w:hAnsi="Arial" w:cs="Arial"/>
          <w:b/>
          <w:sz w:val="20"/>
          <w:szCs w:val="20"/>
        </w:rPr>
        <w:br/>
        <w:t>NATIONAL ASSEMBLY</w:t>
      </w:r>
      <w:r w:rsidRPr="00370B4B">
        <w:rPr>
          <w:rFonts w:ascii="Arial" w:hAnsi="Arial" w:cs="Arial"/>
          <w:b/>
          <w:sz w:val="20"/>
          <w:szCs w:val="20"/>
        </w:rPr>
        <w:br/>
      </w:r>
      <w:r w:rsidRPr="00370B4B">
        <w:rPr>
          <w:rFonts w:ascii="Arial" w:hAnsi="Arial" w:cs="Arial"/>
          <w:b/>
          <w:sz w:val="20"/>
          <w:szCs w:val="20"/>
        </w:rPr>
        <w:br/>
        <w:t>QUESTION FOR WRITTEN REPLY</w:t>
      </w:r>
      <w:r w:rsidRPr="00370B4B">
        <w:rPr>
          <w:rFonts w:ascii="Arial" w:hAnsi="Arial" w:cs="Arial"/>
          <w:b/>
          <w:sz w:val="20"/>
          <w:szCs w:val="20"/>
        </w:rPr>
        <w:br/>
      </w:r>
      <w:r w:rsidRPr="00370B4B">
        <w:rPr>
          <w:rFonts w:ascii="Arial" w:hAnsi="Arial" w:cs="Arial"/>
          <w:b/>
          <w:sz w:val="20"/>
          <w:szCs w:val="20"/>
        </w:rPr>
        <w:br/>
        <w:t>QUESTION NUMBER 2015/4201</w:t>
      </w:r>
      <w:r w:rsidRPr="00370B4B">
        <w:rPr>
          <w:rFonts w:ascii="Arial" w:hAnsi="Arial" w:cs="Arial"/>
          <w:b/>
          <w:sz w:val="20"/>
          <w:szCs w:val="20"/>
        </w:rPr>
        <w:br/>
      </w:r>
      <w:r w:rsidRPr="00370B4B">
        <w:rPr>
          <w:rFonts w:ascii="Arial" w:hAnsi="Arial" w:cs="Arial"/>
          <w:b/>
          <w:sz w:val="20"/>
          <w:szCs w:val="20"/>
        </w:rPr>
        <w:br/>
        <w:t>DATE OF PUBLICATION: 30 NOVEMBER 2015</w:t>
      </w:r>
      <w:r w:rsidRPr="00370B4B">
        <w:rPr>
          <w:rFonts w:ascii="Arial" w:hAnsi="Arial" w:cs="Arial"/>
          <w:b/>
          <w:sz w:val="20"/>
          <w:szCs w:val="20"/>
        </w:rPr>
        <w:br/>
      </w:r>
      <w:r w:rsidRPr="00370B4B">
        <w:rPr>
          <w:rFonts w:ascii="Arial" w:hAnsi="Arial" w:cs="Arial"/>
          <w:b/>
          <w:sz w:val="20"/>
          <w:szCs w:val="20"/>
        </w:rPr>
        <w:br/>
        <w:t>DUE TO PARLIAMENT: 11DECEMBER2015</w:t>
      </w:r>
      <w:r w:rsidRPr="00370B4B">
        <w:rPr>
          <w:rFonts w:ascii="Arial" w:hAnsi="Arial" w:cs="Arial"/>
          <w:b/>
          <w:sz w:val="20"/>
          <w:szCs w:val="20"/>
        </w:rPr>
        <w:br/>
      </w:r>
      <w:r w:rsidRPr="00370B4B">
        <w:rPr>
          <w:rFonts w:ascii="Arial" w:hAnsi="Arial" w:cs="Arial"/>
          <w:b/>
          <w:sz w:val="20"/>
          <w:szCs w:val="20"/>
        </w:rPr>
        <w:br/>
        <w:t>REPLY RECOMMENDED BY MR VUSI MADONSELA</w:t>
      </w:r>
      <w:r w:rsidRPr="00370B4B">
        <w:rPr>
          <w:rFonts w:ascii="Arial" w:hAnsi="Arial" w:cs="Arial"/>
          <w:b/>
          <w:sz w:val="20"/>
          <w:szCs w:val="20"/>
        </w:rPr>
        <w:br/>
      </w:r>
      <w:r w:rsidRPr="00370B4B">
        <w:rPr>
          <w:rFonts w:ascii="Arial" w:hAnsi="Arial" w:cs="Arial"/>
          <w:b/>
          <w:sz w:val="20"/>
          <w:szCs w:val="20"/>
        </w:rPr>
        <w:br/>
        <w:t>DIRECTOR-GENERAL: COOPERATIVE GOVERNANCE</w:t>
      </w:r>
    </w:p>
    <w:p w:rsidR="00807C56" w:rsidRPr="00370B4B" w:rsidRDefault="00807C56" w:rsidP="00807C56">
      <w:pPr>
        <w:autoSpaceDE w:val="0"/>
        <w:autoSpaceDN w:val="0"/>
        <w:adjustRightInd w:val="0"/>
        <w:spacing w:after="0" w:line="240" w:lineRule="auto"/>
        <w:rPr>
          <w:rFonts w:ascii="Arial" w:hAnsi="Arial" w:cs="Arial"/>
          <w:b/>
          <w:sz w:val="20"/>
          <w:szCs w:val="20"/>
        </w:rPr>
      </w:pPr>
    </w:p>
    <w:p w:rsidR="00807C56" w:rsidRPr="00370B4B" w:rsidRDefault="00807C56" w:rsidP="00807C56">
      <w:pPr>
        <w:autoSpaceDE w:val="0"/>
        <w:autoSpaceDN w:val="0"/>
        <w:adjustRightInd w:val="0"/>
        <w:spacing w:after="0" w:line="240" w:lineRule="auto"/>
        <w:rPr>
          <w:rFonts w:ascii="Arial" w:hAnsi="Arial" w:cs="Arial"/>
          <w:b/>
          <w:sz w:val="20"/>
          <w:szCs w:val="20"/>
        </w:rPr>
      </w:pPr>
      <w:r w:rsidRPr="00370B4B">
        <w:rPr>
          <w:rFonts w:ascii="Arial" w:hAnsi="Arial" w:cs="Arial"/>
          <w:b/>
          <w:sz w:val="20"/>
          <w:szCs w:val="20"/>
        </w:rPr>
        <w:t>-------------------------------------------------------------------------</w:t>
      </w:r>
    </w:p>
    <w:p w:rsidR="00807C56" w:rsidRPr="00370B4B" w:rsidRDefault="00807C56" w:rsidP="00807C56">
      <w:pPr>
        <w:autoSpaceDE w:val="0"/>
        <w:autoSpaceDN w:val="0"/>
        <w:adjustRightInd w:val="0"/>
        <w:spacing w:after="0" w:line="240" w:lineRule="auto"/>
        <w:rPr>
          <w:rFonts w:ascii="Arial" w:hAnsi="Arial" w:cs="Arial"/>
          <w:b/>
          <w:sz w:val="20"/>
          <w:szCs w:val="20"/>
        </w:rPr>
      </w:pPr>
      <w:r w:rsidRPr="00370B4B">
        <w:rPr>
          <w:rFonts w:ascii="Arial" w:hAnsi="Arial" w:cs="Arial"/>
          <w:b/>
          <w:sz w:val="20"/>
          <w:szCs w:val="20"/>
        </w:rPr>
        <w:t>LEBOHANG TEKANE - PARLIAMENTARY SERVICES</w:t>
      </w:r>
    </w:p>
    <w:p w:rsidR="006B0FCF" w:rsidRPr="00370B4B" w:rsidRDefault="00807C56" w:rsidP="00807C56">
      <w:pPr>
        <w:spacing w:line="240" w:lineRule="auto"/>
        <w:rPr>
          <w:rFonts w:ascii="Arial" w:hAnsi="Arial" w:cs="Arial"/>
          <w:sz w:val="20"/>
          <w:szCs w:val="20"/>
        </w:rPr>
      </w:pPr>
      <w:r w:rsidRPr="00370B4B">
        <w:rPr>
          <w:rFonts w:ascii="Arial" w:hAnsi="Arial" w:cs="Arial"/>
          <w:b/>
          <w:sz w:val="20"/>
          <w:szCs w:val="20"/>
        </w:rPr>
        <w:t>DATE:</w:t>
      </w:r>
      <w:r w:rsidRPr="00370B4B">
        <w:rPr>
          <w:rFonts w:ascii="Arial" w:hAnsi="Arial" w:cs="Arial"/>
          <w:b/>
          <w:sz w:val="20"/>
          <w:szCs w:val="20"/>
        </w:rPr>
        <w:br/>
      </w:r>
      <w:r w:rsidRPr="00370B4B">
        <w:rPr>
          <w:rFonts w:ascii="Arial" w:hAnsi="Arial" w:cs="Arial"/>
          <w:sz w:val="20"/>
          <w:szCs w:val="20"/>
        </w:rPr>
        <w:br/>
      </w:r>
    </w:p>
    <w:p w:rsidR="00807C56" w:rsidRPr="00370B4B" w:rsidRDefault="00807C56" w:rsidP="00807C56">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MINISTRY FOR COOPERATIVE GOVERNANCE AND TRADITIONAL AFFAIRS</w:t>
      </w:r>
    </w:p>
    <w:p w:rsidR="00807C56" w:rsidRPr="00370B4B" w:rsidRDefault="00807C56" w:rsidP="00807C56">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br/>
        <w:t>REPUBLIC OF SOUTH AFRICA</w:t>
      </w:r>
      <w:r w:rsidRPr="00370B4B">
        <w:rPr>
          <w:rFonts w:ascii="Arial" w:hAnsi="Arial" w:cs="Arial"/>
          <w:b/>
          <w:bCs/>
          <w:sz w:val="20"/>
          <w:szCs w:val="20"/>
        </w:rPr>
        <w:br/>
      </w:r>
    </w:p>
    <w:p w:rsidR="00807C56" w:rsidRPr="00370B4B" w:rsidRDefault="00807C56" w:rsidP="00807C56">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NATIONAL ASSEMBLY</w:t>
      </w:r>
      <w:r w:rsidRPr="00370B4B">
        <w:rPr>
          <w:rFonts w:ascii="Arial" w:hAnsi="Arial" w:cs="Arial"/>
          <w:b/>
          <w:bCs/>
          <w:sz w:val="20"/>
          <w:szCs w:val="20"/>
        </w:rPr>
        <w:br/>
      </w:r>
      <w:r w:rsidRPr="00370B4B">
        <w:rPr>
          <w:rFonts w:ascii="Arial" w:hAnsi="Arial" w:cs="Arial"/>
          <w:b/>
          <w:bCs/>
          <w:sz w:val="20"/>
          <w:szCs w:val="20"/>
        </w:rPr>
        <w:br/>
        <w:t>QUESTIONS FOR WRITTEN REPLY</w:t>
      </w:r>
      <w:r w:rsidRPr="00370B4B">
        <w:rPr>
          <w:rFonts w:ascii="Arial" w:hAnsi="Arial" w:cs="Arial"/>
          <w:b/>
          <w:bCs/>
          <w:sz w:val="20"/>
          <w:szCs w:val="20"/>
        </w:rPr>
        <w:br/>
      </w:r>
      <w:r w:rsidRPr="00370B4B">
        <w:rPr>
          <w:rFonts w:ascii="Arial" w:hAnsi="Arial" w:cs="Arial"/>
          <w:b/>
          <w:bCs/>
          <w:sz w:val="20"/>
          <w:szCs w:val="20"/>
        </w:rPr>
        <w:br/>
        <w:t>QUESTION NUMBER 2015/4201</w:t>
      </w:r>
      <w:r w:rsidRPr="00370B4B">
        <w:rPr>
          <w:rFonts w:ascii="Arial" w:hAnsi="Arial" w:cs="Arial"/>
          <w:b/>
          <w:bCs/>
          <w:sz w:val="20"/>
          <w:szCs w:val="20"/>
        </w:rPr>
        <w:br/>
      </w:r>
      <w:r w:rsidRPr="00370B4B">
        <w:rPr>
          <w:rFonts w:ascii="Arial" w:hAnsi="Arial" w:cs="Arial"/>
          <w:b/>
          <w:bCs/>
          <w:sz w:val="20"/>
          <w:szCs w:val="20"/>
        </w:rPr>
        <w:br/>
        <w:t>DATE OF PUBLICATION: 30 NOVEMBER 2015</w:t>
      </w:r>
      <w:r w:rsidRPr="00370B4B">
        <w:rPr>
          <w:rFonts w:ascii="Arial" w:hAnsi="Arial" w:cs="Arial"/>
          <w:b/>
          <w:bCs/>
          <w:sz w:val="20"/>
          <w:szCs w:val="20"/>
        </w:rPr>
        <w:br/>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b/>
          <w:bCs/>
          <w:sz w:val="20"/>
          <w:szCs w:val="20"/>
        </w:rPr>
        <w:t>Mr R A Lees (DA) to ask the Minister of Cooperative Governance and Traditional Affairs:</w:t>
      </w:r>
      <w:r w:rsidRPr="00370B4B">
        <w:rPr>
          <w:rFonts w:ascii="Arial" w:hAnsi="Arial" w:cs="Arial"/>
          <w:b/>
          <w:bCs/>
          <w:sz w:val="20"/>
          <w:szCs w:val="20"/>
        </w:rPr>
        <w:br/>
      </w:r>
      <w:r w:rsidRPr="00370B4B">
        <w:rPr>
          <w:rFonts w:ascii="Arial" w:hAnsi="Arial" w:cs="Arial"/>
          <w:b/>
          <w:bCs/>
          <w:sz w:val="20"/>
          <w:szCs w:val="20"/>
        </w:rPr>
        <w:br/>
      </w:r>
      <w:r w:rsidRPr="00370B4B">
        <w:rPr>
          <w:rFonts w:ascii="Arial" w:hAnsi="Arial" w:cs="Arial"/>
          <w:sz w:val="20"/>
          <w:szCs w:val="20"/>
        </w:rPr>
        <w:t>Whether he had any form of consultation with (a) the Minister of Finance and/or (b) any other (</w:t>
      </w:r>
      <w:proofErr w:type="spellStart"/>
      <w:r w:rsidRPr="00370B4B">
        <w:rPr>
          <w:rFonts w:ascii="Arial" w:hAnsi="Arial" w:cs="Arial"/>
          <w:sz w:val="20"/>
          <w:szCs w:val="20"/>
        </w:rPr>
        <w:t>i</w:t>
      </w:r>
      <w:proofErr w:type="spellEnd"/>
      <w:r w:rsidRPr="00370B4B">
        <w:rPr>
          <w:rFonts w:ascii="Arial" w:hAnsi="Arial" w:cs="Arial"/>
          <w:sz w:val="20"/>
          <w:szCs w:val="20"/>
        </w:rPr>
        <w:t>) person or (ii) entity regarding the contents of an intergovernmental report commissioned by the Minister of Finance on the latest round of the redeterminations of municipal boundaries to assess the financial viability and sustainability of the specified proposed amalgamations; if not, why not; if so, what were the outcomes in each case?</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b/>
          <w:bCs/>
          <w:sz w:val="20"/>
          <w:szCs w:val="20"/>
        </w:rPr>
        <w:br/>
        <w:t>REPLY</w:t>
      </w:r>
      <w:proofErr w:type="gramStart"/>
      <w:r w:rsidRPr="00370B4B">
        <w:rPr>
          <w:rFonts w:ascii="Arial" w:hAnsi="Arial" w:cs="Arial"/>
          <w:b/>
          <w:bCs/>
          <w:sz w:val="20"/>
          <w:szCs w:val="20"/>
        </w:rPr>
        <w:t>:</w:t>
      </w:r>
      <w:proofErr w:type="gramEnd"/>
      <w:r w:rsidRPr="00370B4B">
        <w:rPr>
          <w:rFonts w:ascii="Arial" w:hAnsi="Arial" w:cs="Arial"/>
          <w:b/>
          <w:bCs/>
          <w:sz w:val="20"/>
          <w:szCs w:val="20"/>
        </w:rPr>
        <w:br/>
      </w:r>
      <w:r w:rsidRPr="00370B4B">
        <w:rPr>
          <w:rFonts w:ascii="Arial" w:hAnsi="Arial" w:cs="Arial"/>
          <w:sz w:val="20"/>
          <w:szCs w:val="20"/>
        </w:rPr>
        <w:br/>
        <w:t>No.</w:t>
      </w:r>
      <w:r w:rsidRPr="00370B4B">
        <w:rPr>
          <w:rFonts w:ascii="Arial" w:hAnsi="Arial" w:cs="Arial"/>
          <w:sz w:val="20"/>
          <w:szCs w:val="20"/>
        </w:rPr>
        <w:br/>
      </w:r>
      <w:r w:rsidRPr="00370B4B">
        <w:rPr>
          <w:rFonts w:ascii="Arial" w:hAnsi="Arial" w:cs="Arial"/>
          <w:sz w:val="20"/>
          <w:szCs w:val="20"/>
        </w:rPr>
        <w:br/>
        <w:t>The report referred to by the Honourable Member was submitted to me by the Municipal Demarcation Board on 07 August 2015.</w:t>
      </w:r>
      <w:r w:rsidRPr="00370B4B">
        <w:rPr>
          <w:rFonts w:ascii="Arial" w:hAnsi="Arial" w:cs="Arial"/>
          <w:sz w:val="20"/>
          <w:szCs w:val="20"/>
        </w:rPr>
        <w:br/>
      </w:r>
      <w:r w:rsidRPr="00370B4B">
        <w:rPr>
          <w:rFonts w:ascii="Arial" w:hAnsi="Arial" w:cs="Arial"/>
          <w:sz w:val="20"/>
          <w:szCs w:val="20"/>
        </w:rPr>
        <w:br/>
        <w:t>Prior to that, officials from the Department of Cooperative Governance met with their counterparts from the National Treasury to discuss similar related matters from the Minister of Finance and further addressed these matters during the Budget Forum meeting held on 8 June 2015.</w:t>
      </w:r>
      <w:r w:rsidRPr="00370B4B">
        <w:rPr>
          <w:rFonts w:ascii="Arial" w:hAnsi="Arial" w:cs="Arial"/>
          <w:sz w:val="20"/>
          <w:szCs w:val="20"/>
        </w:rPr>
        <w:br/>
      </w:r>
      <w:r w:rsidRPr="00370B4B">
        <w:rPr>
          <w:rFonts w:ascii="Arial" w:hAnsi="Arial" w:cs="Arial"/>
          <w:sz w:val="20"/>
          <w:szCs w:val="20"/>
        </w:rPr>
        <w:br/>
        <w:t xml:space="preserve">It must be further noted that the Municipal Demarcation Board must consider the objectives for demarcation and the factors to be taken into account, as provided in sections 24 and 25 of the Municipal Demarcation Act, when determining or </w:t>
      </w:r>
      <w:proofErr w:type="spellStart"/>
      <w:r w:rsidRPr="00370B4B">
        <w:rPr>
          <w:rFonts w:ascii="Arial" w:hAnsi="Arial" w:cs="Arial"/>
          <w:sz w:val="20"/>
          <w:szCs w:val="20"/>
        </w:rPr>
        <w:t>redetermining</w:t>
      </w:r>
      <w:proofErr w:type="spellEnd"/>
      <w:r w:rsidRPr="00370B4B">
        <w:rPr>
          <w:rFonts w:ascii="Arial" w:hAnsi="Arial" w:cs="Arial"/>
          <w:sz w:val="20"/>
          <w:szCs w:val="20"/>
        </w:rPr>
        <w:t xml:space="preserve"> municipal boundaries.</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b/>
          <w:bCs/>
          <w:sz w:val="20"/>
          <w:szCs w:val="20"/>
        </w:rPr>
        <w:br/>
        <w:t>1. BACKGROUND</w:t>
      </w:r>
      <w:r w:rsidRPr="00370B4B">
        <w:rPr>
          <w:rFonts w:ascii="Arial" w:hAnsi="Arial" w:cs="Arial"/>
          <w:b/>
          <w:bCs/>
          <w:sz w:val="20"/>
          <w:szCs w:val="20"/>
        </w:rPr>
        <w:br/>
      </w:r>
      <w:r w:rsidRPr="00370B4B">
        <w:rPr>
          <w:rFonts w:ascii="Arial" w:hAnsi="Arial" w:cs="Arial"/>
          <w:b/>
          <w:bCs/>
          <w:sz w:val="20"/>
          <w:szCs w:val="20"/>
        </w:rPr>
        <w:lastRenderedPageBreak/>
        <w:br/>
      </w:r>
      <w:r w:rsidRPr="00370B4B">
        <w:rPr>
          <w:rFonts w:ascii="Arial" w:hAnsi="Arial" w:cs="Arial"/>
          <w:sz w:val="20"/>
          <w:szCs w:val="20"/>
        </w:rPr>
        <w:t xml:space="preserve">1.1 Between December 2014 and April 2015, the Minister after consultation with all the MECs responsible for local government in the provinces, requested the Municipal Demarcation Board (MOB), in terms of section 22(2) of the Municipal Demarcation Act to determine or </w:t>
      </w:r>
      <w:proofErr w:type="spellStart"/>
      <w:r w:rsidRPr="00370B4B">
        <w:rPr>
          <w:rFonts w:ascii="Arial" w:hAnsi="Arial" w:cs="Arial"/>
          <w:sz w:val="20"/>
          <w:szCs w:val="20"/>
        </w:rPr>
        <w:t>redetermine</w:t>
      </w:r>
      <w:proofErr w:type="spellEnd"/>
      <w:r w:rsidRPr="00370B4B">
        <w:rPr>
          <w:rFonts w:ascii="Arial" w:hAnsi="Arial" w:cs="Arial"/>
          <w:sz w:val="20"/>
          <w:szCs w:val="20"/>
        </w:rPr>
        <w:t xml:space="preserve"> the boundaries of various municipalities with a view of optimising the financial viability and sustainability (Tag </w:t>
      </w:r>
      <w:proofErr w:type="gramStart"/>
      <w:r w:rsidRPr="00370B4B">
        <w:rPr>
          <w:rFonts w:ascii="Arial" w:hAnsi="Arial" w:cs="Arial"/>
          <w:sz w:val="20"/>
          <w:szCs w:val="20"/>
        </w:rPr>
        <w:t>1 )</w:t>
      </w:r>
      <w:proofErr w:type="gramEnd"/>
      <w:r w:rsidRPr="00370B4B">
        <w:rPr>
          <w:rFonts w:ascii="Arial" w:hAnsi="Arial" w:cs="Arial"/>
          <w:sz w:val="20"/>
          <w:szCs w:val="20"/>
        </w:rPr>
        <w:t>.</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sz w:val="20"/>
          <w:szCs w:val="20"/>
        </w:rPr>
        <w:br/>
        <w:t xml:space="preserve">1.2 In </w:t>
      </w:r>
      <w:proofErr w:type="gramStart"/>
      <w:r w:rsidRPr="00370B4B">
        <w:rPr>
          <w:rFonts w:ascii="Arial" w:hAnsi="Arial" w:cs="Arial"/>
          <w:sz w:val="20"/>
          <w:szCs w:val="20"/>
        </w:rPr>
        <w:t>total ,</w:t>
      </w:r>
      <w:proofErr w:type="gramEnd"/>
      <w:r w:rsidRPr="00370B4B">
        <w:rPr>
          <w:rFonts w:ascii="Arial" w:hAnsi="Arial" w:cs="Arial"/>
          <w:sz w:val="20"/>
          <w:szCs w:val="20"/>
        </w:rPr>
        <w:t xml:space="preserve"> 34 requests were made to the MOB, as follows:</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b/>
          <w:bCs/>
          <w:sz w:val="20"/>
          <w:szCs w:val="20"/>
        </w:rPr>
        <w:br/>
      </w:r>
    </w:p>
    <w:tbl>
      <w:tblPr>
        <w:tblStyle w:val="TableGrid"/>
        <w:tblW w:w="0" w:type="auto"/>
        <w:tblLook w:val="04A0"/>
      </w:tblPr>
      <w:tblGrid>
        <w:gridCol w:w="2310"/>
        <w:gridCol w:w="2310"/>
        <w:gridCol w:w="2311"/>
        <w:gridCol w:w="2311"/>
      </w:tblGrid>
      <w:tr w:rsidR="00807C56" w:rsidRPr="00370B4B" w:rsidTr="00807C56">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b/>
                <w:bCs/>
                <w:sz w:val="20"/>
                <w:szCs w:val="20"/>
              </w:rPr>
              <w:t>PROVINCE</w:t>
            </w:r>
          </w:p>
        </w:tc>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b/>
                <w:bCs/>
                <w:sz w:val="20"/>
                <w:szCs w:val="20"/>
              </w:rPr>
              <w:t>NUMBER</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b/>
                <w:bCs/>
                <w:sz w:val="20"/>
                <w:szCs w:val="20"/>
              </w:rPr>
              <w:t>PROVINCE</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b/>
                <w:bCs/>
                <w:sz w:val="20"/>
                <w:szCs w:val="20"/>
              </w:rPr>
              <w:t>NUMBER</w:t>
            </w:r>
          </w:p>
        </w:tc>
      </w:tr>
      <w:tr w:rsidR="00807C56" w:rsidRPr="00370B4B" w:rsidTr="00807C56">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 xml:space="preserve">Kwazulu-Natal </w:t>
            </w:r>
          </w:p>
        </w:tc>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11</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 xml:space="preserve">Limpopo </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5</w:t>
            </w:r>
          </w:p>
        </w:tc>
      </w:tr>
      <w:tr w:rsidR="00807C56" w:rsidRPr="00370B4B" w:rsidTr="00807C56">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Eastern Cape</w:t>
            </w:r>
          </w:p>
        </w:tc>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5</w:t>
            </w:r>
          </w:p>
        </w:tc>
        <w:tc>
          <w:tcPr>
            <w:tcW w:w="2311" w:type="dxa"/>
          </w:tcPr>
          <w:p w:rsidR="00807C56" w:rsidRPr="00370B4B" w:rsidRDefault="00807C56" w:rsidP="00807C56">
            <w:pPr>
              <w:autoSpaceDE w:val="0"/>
              <w:autoSpaceDN w:val="0"/>
              <w:adjustRightInd w:val="0"/>
              <w:rPr>
                <w:rFonts w:ascii="Arial" w:hAnsi="Arial" w:cs="Arial"/>
                <w:sz w:val="20"/>
                <w:szCs w:val="20"/>
              </w:rPr>
            </w:pPr>
            <w:proofErr w:type="spellStart"/>
            <w:r w:rsidRPr="00370B4B">
              <w:rPr>
                <w:rFonts w:ascii="Arial" w:hAnsi="Arial" w:cs="Arial"/>
                <w:sz w:val="20"/>
                <w:szCs w:val="20"/>
              </w:rPr>
              <w:t>Mpumalanqa</w:t>
            </w:r>
            <w:proofErr w:type="spellEnd"/>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5</w:t>
            </w:r>
          </w:p>
        </w:tc>
      </w:tr>
      <w:tr w:rsidR="00807C56" w:rsidRPr="00370B4B" w:rsidTr="00807C56">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Free State</w:t>
            </w:r>
          </w:p>
        </w:tc>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2</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North West</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4</w:t>
            </w:r>
          </w:p>
        </w:tc>
      </w:tr>
      <w:tr w:rsidR="00807C56" w:rsidRPr="00370B4B" w:rsidTr="00807C56">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Gauteng</w:t>
            </w:r>
          </w:p>
        </w:tc>
        <w:tc>
          <w:tcPr>
            <w:tcW w:w="2310"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1</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Northern Cape</w:t>
            </w:r>
          </w:p>
        </w:tc>
        <w:tc>
          <w:tcPr>
            <w:tcW w:w="2311" w:type="dxa"/>
          </w:tcPr>
          <w:p w:rsidR="00807C56" w:rsidRPr="00370B4B" w:rsidRDefault="00807C56" w:rsidP="00807C56">
            <w:pPr>
              <w:autoSpaceDE w:val="0"/>
              <w:autoSpaceDN w:val="0"/>
              <w:adjustRightInd w:val="0"/>
              <w:rPr>
                <w:rFonts w:ascii="Arial" w:hAnsi="Arial" w:cs="Arial"/>
                <w:sz w:val="20"/>
                <w:szCs w:val="20"/>
              </w:rPr>
            </w:pPr>
            <w:r w:rsidRPr="00370B4B">
              <w:rPr>
                <w:rFonts w:ascii="Arial" w:hAnsi="Arial" w:cs="Arial"/>
                <w:sz w:val="20"/>
                <w:szCs w:val="20"/>
              </w:rPr>
              <w:t>1</w:t>
            </w:r>
          </w:p>
        </w:tc>
      </w:tr>
    </w:tbl>
    <w:p w:rsidR="00807C56" w:rsidRPr="00370B4B" w:rsidRDefault="00807C56" w:rsidP="00807C56">
      <w:pPr>
        <w:autoSpaceDE w:val="0"/>
        <w:autoSpaceDN w:val="0"/>
        <w:adjustRightInd w:val="0"/>
        <w:spacing w:after="0" w:line="240" w:lineRule="auto"/>
        <w:rPr>
          <w:rFonts w:ascii="Arial" w:hAnsi="Arial" w:cs="Arial"/>
          <w:sz w:val="20"/>
          <w:szCs w:val="20"/>
        </w:rPr>
      </w:pP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sz w:val="20"/>
          <w:szCs w:val="20"/>
        </w:rPr>
        <w:t>1.3 Subsequent to that request, on 09 March 2015 the Minister of Finance wrote to the Minister of Cooperative Governance (Tag 2) pledging support to the initiative and suggesting that both Departments should work together to strengthen the proposal for further boundary changes for municipalities. The Minister of Finance proposed that the areas that could be strengthened include:</w:t>
      </w:r>
      <w:r w:rsidRPr="00370B4B">
        <w:rPr>
          <w:rFonts w:ascii="Arial" w:hAnsi="Arial" w:cs="Arial"/>
          <w:sz w:val="20"/>
          <w:szCs w:val="20"/>
        </w:rPr>
        <w:br/>
      </w:r>
      <w:r w:rsidRPr="00370B4B">
        <w:rPr>
          <w:rFonts w:ascii="Arial" w:hAnsi="Arial" w:cs="Arial"/>
          <w:sz w:val="20"/>
          <w:szCs w:val="20"/>
        </w:rPr>
        <w:br/>
        <w:t>(</w:t>
      </w:r>
      <w:proofErr w:type="spellStart"/>
      <w:r w:rsidRPr="00370B4B">
        <w:rPr>
          <w:rFonts w:ascii="Arial" w:hAnsi="Arial" w:cs="Arial"/>
          <w:sz w:val="20"/>
          <w:szCs w:val="20"/>
        </w:rPr>
        <w:t>i</w:t>
      </w:r>
      <w:proofErr w:type="spellEnd"/>
      <w:r w:rsidRPr="00370B4B">
        <w:rPr>
          <w:rFonts w:ascii="Arial" w:hAnsi="Arial" w:cs="Arial"/>
          <w:sz w:val="20"/>
          <w:szCs w:val="20"/>
        </w:rPr>
        <w:t>) The proposal should be consulted broadly;</w:t>
      </w:r>
      <w:r w:rsidRPr="00370B4B">
        <w:rPr>
          <w:rFonts w:ascii="Arial" w:hAnsi="Arial" w:cs="Arial"/>
          <w:sz w:val="20"/>
          <w:szCs w:val="20"/>
        </w:rPr>
        <w:br/>
        <w:t>(ii) The future role of district municipalities should be carefully considered;</w:t>
      </w:r>
      <w:r w:rsidRPr="00370B4B">
        <w:rPr>
          <w:rFonts w:ascii="Arial" w:hAnsi="Arial" w:cs="Arial"/>
          <w:sz w:val="20"/>
          <w:szCs w:val="20"/>
        </w:rPr>
        <w:br/>
        <w:t>(iii) The alignment of the new proposals for metros with other proposed urban reforms (including in the NOP and Department of Cooperative Governance's (</w:t>
      </w:r>
      <w:proofErr w:type="spellStart"/>
      <w:r w:rsidRPr="00370B4B">
        <w:rPr>
          <w:rFonts w:ascii="Arial" w:hAnsi="Arial" w:cs="Arial"/>
          <w:sz w:val="20"/>
          <w:szCs w:val="20"/>
        </w:rPr>
        <w:t>DCoG's</w:t>
      </w:r>
      <w:proofErr w:type="spellEnd"/>
      <w:r w:rsidRPr="00370B4B">
        <w:rPr>
          <w:rFonts w:ascii="Arial" w:hAnsi="Arial" w:cs="Arial"/>
          <w:sz w:val="20"/>
          <w:szCs w:val="20"/>
        </w:rPr>
        <w:t>) Integrated Urban Development Framework) should be reviewed;</w:t>
      </w:r>
      <w:r w:rsidRPr="00370B4B">
        <w:rPr>
          <w:rFonts w:ascii="Arial" w:hAnsi="Arial" w:cs="Arial"/>
          <w:sz w:val="20"/>
          <w:szCs w:val="20"/>
        </w:rPr>
        <w:br/>
      </w:r>
      <w:r w:rsidRPr="00370B4B">
        <w:rPr>
          <w:rFonts w:ascii="Arial" w:hAnsi="Arial" w:cs="Arial"/>
          <w:sz w:val="20"/>
          <w:szCs w:val="20"/>
        </w:rPr>
        <w:br/>
        <w:t>(iv) The implications for the local government fiscal framework must be established; and (v) Future analysis should take greater account of the structural change in allocations to municipalities that resulted from the implementation of a new local government equitable share formula.</w:t>
      </w:r>
      <w:r w:rsidRPr="00370B4B">
        <w:rPr>
          <w:rFonts w:ascii="Arial" w:hAnsi="Arial" w:cs="Arial"/>
          <w:sz w:val="20"/>
          <w:szCs w:val="20"/>
        </w:rPr>
        <w:br/>
      </w:r>
      <w:r w:rsidRPr="00370B4B">
        <w:rPr>
          <w:rFonts w:ascii="Arial" w:hAnsi="Arial" w:cs="Arial"/>
          <w:sz w:val="20"/>
          <w:szCs w:val="20"/>
        </w:rPr>
        <w:br/>
        <w:t xml:space="preserve">1.4 The Minister of Finance further proposed that officials from the National Treasury (NT) and </w:t>
      </w:r>
      <w:proofErr w:type="spellStart"/>
      <w:r w:rsidRPr="00370B4B">
        <w:rPr>
          <w:rFonts w:ascii="Arial" w:hAnsi="Arial" w:cs="Arial"/>
          <w:sz w:val="20"/>
          <w:szCs w:val="20"/>
        </w:rPr>
        <w:t>DCoG</w:t>
      </w:r>
      <w:proofErr w:type="spellEnd"/>
      <w:r w:rsidRPr="00370B4B">
        <w:rPr>
          <w:rFonts w:ascii="Arial" w:hAnsi="Arial" w:cs="Arial"/>
          <w:sz w:val="20"/>
          <w:szCs w:val="20"/>
        </w:rPr>
        <w:t xml:space="preserve"> should engage further on the proposals as well as on any future proposal for the </w:t>
      </w:r>
      <w:proofErr w:type="spellStart"/>
      <w:r w:rsidRPr="00370B4B">
        <w:rPr>
          <w:rFonts w:ascii="Arial" w:hAnsi="Arial" w:cs="Arial"/>
          <w:sz w:val="20"/>
          <w:szCs w:val="20"/>
        </w:rPr>
        <w:t>redemarcation</w:t>
      </w:r>
      <w:proofErr w:type="spellEnd"/>
      <w:r w:rsidRPr="00370B4B">
        <w:rPr>
          <w:rFonts w:ascii="Arial" w:hAnsi="Arial" w:cs="Arial"/>
          <w:sz w:val="20"/>
          <w:szCs w:val="20"/>
        </w:rPr>
        <w:t xml:space="preserve"> of municipal boundaries before they are submitted to the MOB.</w:t>
      </w:r>
      <w:r w:rsidRPr="00370B4B">
        <w:rPr>
          <w:rFonts w:ascii="Arial" w:hAnsi="Arial" w:cs="Arial"/>
          <w:sz w:val="20"/>
          <w:szCs w:val="20"/>
        </w:rPr>
        <w:br/>
      </w:r>
      <w:r w:rsidRPr="00370B4B">
        <w:rPr>
          <w:rFonts w:ascii="Arial" w:hAnsi="Arial" w:cs="Arial"/>
          <w:sz w:val="20"/>
          <w:szCs w:val="20"/>
        </w:rPr>
        <w:br/>
        <w:t>1.5 On 07 August 2015 the Minister received a letter from the MOB (Tag 3) notifying him of a letter from the Minister of Finance (Tag 4) objecting to the proposed municipal boundaries redetermination.</w:t>
      </w:r>
      <w:r w:rsidRPr="00370B4B">
        <w:rPr>
          <w:rFonts w:ascii="Arial" w:hAnsi="Arial" w:cs="Arial"/>
          <w:sz w:val="20"/>
          <w:szCs w:val="20"/>
        </w:rPr>
        <w:br/>
      </w:r>
      <w:r w:rsidRPr="00370B4B">
        <w:rPr>
          <w:rFonts w:ascii="Arial" w:hAnsi="Arial" w:cs="Arial"/>
          <w:sz w:val="20"/>
          <w:szCs w:val="20"/>
        </w:rPr>
        <w:br/>
        <w:t>1.6 The main reason cited by the Minister of Finance for this objection was that there is no evidence to suggest that the re-determination of municipal boundaries will contribute towards or stimulate economic growth and development in the area as a whole.</w:t>
      </w:r>
      <w:r w:rsidRPr="00370B4B">
        <w:rPr>
          <w:rFonts w:ascii="Arial" w:hAnsi="Arial" w:cs="Arial"/>
          <w:sz w:val="20"/>
          <w:szCs w:val="20"/>
        </w:rPr>
        <w:br/>
      </w:r>
      <w:r w:rsidRPr="00370B4B">
        <w:rPr>
          <w:rFonts w:ascii="Arial" w:hAnsi="Arial" w:cs="Arial"/>
          <w:b/>
          <w:bCs/>
          <w:sz w:val="20"/>
          <w:szCs w:val="20"/>
        </w:rPr>
        <w:br/>
        <w:t>2. DISCUSSION</w:t>
      </w:r>
      <w:r w:rsidRPr="00370B4B">
        <w:rPr>
          <w:rFonts w:ascii="Arial" w:hAnsi="Arial" w:cs="Arial"/>
          <w:b/>
          <w:bCs/>
          <w:sz w:val="20"/>
          <w:szCs w:val="20"/>
        </w:rPr>
        <w:br/>
      </w:r>
      <w:r w:rsidRPr="00370B4B">
        <w:rPr>
          <w:rFonts w:ascii="Arial" w:hAnsi="Arial" w:cs="Arial"/>
          <w:b/>
          <w:bCs/>
          <w:sz w:val="20"/>
          <w:szCs w:val="20"/>
        </w:rPr>
        <w:br/>
      </w:r>
      <w:r w:rsidRPr="00370B4B">
        <w:rPr>
          <w:rFonts w:ascii="Arial" w:hAnsi="Arial" w:cs="Arial"/>
          <w:sz w:val="20"/>
          <w:szCs w:val="20"/>
        </w:rPr>
        <w:t xml:space="preserve">2.1 On 15 April 2015 a meeting was held between the officials from </w:t>
      </w:r>
      <w:proofErr w:type="spellStart"/>
      <w:r w:rsidRPr="00370B4B">
        <w:rPr>
          <w:rFonts w:ascii="Arial" w:hAnsi="Arial" w:cs="Arial"/>
          <w:sz w:val="20"/>
          <w:szCs w:val="20"/>
        </w:rPr>
        <w:t>DCoG</w:t>
      </w:r>
      <w:proofErr w:type="spellEnd"/>
      <w:r w:rsidRPr="00370B4B">
        <w:rPr>
          <w:rFonts w:ascii="Arial" w:hAnsi="Arial" w:cs="Arial"/>
          <w:sz w:val="20"/>
          <w:szCs w:val="20"/>
        </w:rPr>
        <w:t xml:space="preserve"> and the NT to discuss the correspondence referred to in 1.3 above. It was agreed that there must be greater collaboration in this regard.</w:t>
      </w:r>
      <w:r w:rsidRPr="00370B4B">
        <w:rPr>
          <w:rFonts w:ascii="Arial" w:hAnsi="Arial" w:cs="Arial"/>
          <w:sz w:val="20"/>
          <w:szCs w:val="20"/>
        </w:rPr>
        <w:br/>
      </w:r>
      <w:r w:rsidRPr="00370B4B">
        <w:rPr>
          <w:rFonts w:ascii="Arial" w:hAnsi="Arial" w:cs="Arial"/>
          <w:sz w:val="20"/>
          <w:szCs w:val="20"/>
        </w:rPr>
        <w:br/>
        <w:t>2.2 This matter was further discussed at the Budget Forum meeting held on 8 June 2015.</w:t>
      </w:r>
      <w:r w:rsidRPr="00370B4B">
        <w:rPr>
          <w:rFonts w:ascii="Arial" w:hAnsi="Arial" w:cs="Arial"/>
          <w:sz w:val="20"/>
          <w:szCs w:val="20"/>
        </w:rPr>
        <w:br/>
      </w:r>
      <w:r w:rsidRPr="00370B4B">
        <w:rPr>
          <w:rFonts w:ascii="Arial" w:hAnsi="Arial" w:cs="Arial"/>
          <w:sz w:val="20"/>
          <w:szCs w:val="20"/>
        </w:rPr>
        <w:br/>
        <w:t>2.3 There have been continuous engagements with the NT, South African Local Government Association (SALGA) and the Financial and Fiscal Commission (FFC) on determining the financial implications in this regard.</w:t>
      </w:r>
      <w:r w:rsidRPr="00370B4B">
        <w:rPr>
          <w:rFonts w:ascii="Arial" w:hAnsi="Arial" w:cs="Arial"/>
          <w:sz w:val="20"/>
          <w:szCs w:val="20"/>
        </w:rPr>
        <w:br/>
      </w:r>
      <w:r w:rsidRPr="00370B4B">
        <w:rPr>
          <w:rFonts w:ascii="Arial" w:hAnsi="Arial" w:cs="Arial"/>
          <w:sz w:val="20"/>
          <w:szCs w:val="20"/>
        </w:rPr>
        <w:br/>
        <w:t>2.4 Regarding the claim by the NT that the process of amalgamation is expensive, it should be noted that whilst there will be change management costs involved, the view is that in the long-term, the reduction in the number of non-viable municipalities will have a significant impact on governance issues.</w:t>
      </w:r>
      <w:r w:rsidRPr="00370B4B">
        <w:rPr>
          <w:rFonts w:ascii="Arial" w:hAnsi="Arial" w:cs="Arial"/>
          <w:sz w:val="20"/>
          <w:szCs w:val="20"/>
        </w:rPr>
        <w:br/>
      </w:r>
      <w:r w:rsidRPr="00370B4B">
        <w:rPr>
          <w:rFonts w:ascii="Arial" w:hAnsi="Arial" w:cs="Arial"/>
          <w:sz w:val="20"/>
          <w:szCs w:val="20"/>
        </w:rPr>
        <w:br/>
        <w:t xml:space="preserve">2.5 The argument about the reduced transfer of equitable share allocations to municipalities once </w:t>
      </w:r>
      <w:r w:rsidRPr="00370B4B">
        <w:rPr>
          <w:rFonts w:ascii="Arial" w:hAnsi="Arial" w:cs="Arial"/>
          <w:sz w:val="20"/>
          <w:szCs w:val="20"/>
        </w:rPr>
        <w:lastRenderedPageBreak/>
        <w:t>amalgamated is a policy matter. If the funds are already in Division of Revenue Act (</w:t>
      </w:r>
      <w:proofErr w:type="spellStart"/>
      <w:r w:rsidRPr="00370B4B">
        <w:rPr>
          <w:rFonts w:ascii="Arial" w:hAnsi="Arial" w:cs="Arial"/>
          <w:sz w:val="20"/>
          <w:szCs w:val="20"/>
        </w:rPr>
        <w:t>DoRA</w:t>
      </w:r>
      <w:proofErr w:type="spellEnd"/>
      <w:r w:rsidRPr="00370B4B">
        <w:rPr>
          <w:rFonts w:ascii="Arial" w:hAnsi="Arial" w:cs="Arial"/>
          <w:sz w:val="20"/>
          <w:szCs w:val="20"/>
        </w:rPr>
        <w:t xml:space="preserve">), it is assumed that in terms of the Medium-Term Expenditure Framework the funds will be allocated to the municipalities for the next three years. </w:t>
      </w:r>
      <w:proofErr w:type="gramStart"/>
      <w:r w:rsidRPr="00370B4B">
        <w:rPr>
          <w:rFonts w:ascii="Arial" w:hAnsi="Arial" w:cs="Arial"/>
          <w:sz w:val="20"/>
          <w:szCs w:val="20"/>
        </w:rPr>
        <w:t>Far and above, the funding formula can be reviewed to accommodate amalgamated municipalities.</w:t>
      </w:r>
      <w:proofErr w:type="gramEnd"/>
      <w:r w:rsidRPr="00370B4B">
        <w:rPr>
          <w:rFonts w:ascii="Arial" w:hAnsi="Arial" w:cs="Arial"/>
          <w:sz w:val="20"/>
          <w:szCs w:val="20"/>
        </w:rPr>
        <w:br/>
      </w:r>
      <w:r w:rsidRPr="00370B4B">
        <w:rPr>
          <w:rFonts w:ascii="Arial" w:hAnsi="Arial" w:cs="Arial"/>
          <w:sz w:val="20"/>
          <w:szCs w:val="20"/>
        </w:rPr>
        <w:br/>
        <w:t>2.6 It cannot be factually substantiated that when municipalities are amalgamated there will always be an increase in administrative costs. The non-viable municipalities are actually characterized by bloated organisational establishments.</w:t>
      </w:r>
      <w:r w:rsidRPr="00370B4B">
        <w:rPr>
          <w:rFonts w:ascii="Arial" w:hAnsi="Arial" w:cs="Arial"/>
          <w:sz w:val="20"/>
          <w:szCs w:val="20"/>
        </w:rPr>
        <w:br/>
      </w:r>
      <w:r w:rsidRPr="00370B4B">
        <w:rPr>
          <w:rFonts w:ascii="Arial" w:hAnsi="Arial" w:cs="Arial"/>
          <w:sz w:val="20"/>
          <w:szCs w:val="20"/>
        </w:rPr>
        <w:br/>
        <w:t xml:space="preserve">2. 7 </w:t>
      </w:r>
      <w:proofErr w:type="gramStart"/>
      <w:r w:rsidRPr="00370B4B">
        <w:rPr>
          <w:rFonts w:ascii="Arial" w:hAnsi="Arial" w:cs="Arial"/>
          <w:sz w:val="20"/>
          <w:szCs w:val="20"/>
        </w:rPr>
        <w:t>The</w:t>
      </w:r>
      <w:proofErr w:type="gramEnd"/>
      <w:r w:rsidRPr="00370B4B">
        <w:rPr>
          <w:rFonts w:ascii="Arial" w:hAnsi="Arial" w:cs="Arial"/>
          <w:sz w:val="20"/>
          <w:szCs w:val="20"/>
        </w:rPr>
        <w:t xml:space="preserve"> general claim that the amalgamated municipalities will be less viable can also not be factually substantiated in terms of cost-benefit analysis. Whilst there are lessons to be learnt in the case of the Tshwane merger, it should be taken into consideration that there were many factors which also contributed to the challenges of this merger.</w:t>
      </w:r>
    </w:p>
    <w:p w:rsidR="00807C56" w:rsidRPr="00370B4B" w:rsidRDefault="00807C56" w:rsidP="00807C56">
      <w:pPr>
        <w:autoSpaceDE w:val="0"/>
        <w:autoSpaceDN w:val="0"/>
        <w:adjustRightInd w:val="0"/>
        <w:spacing w:after="0" w:line="240" w:lineRule="auto"/>
        <w:rPr>
          <w:rFonts w:ascii="Arial" w:hAnsi="Arial" w:cs="Arial"/>
          <w:sz w:val="20"/>
          <w:szCs w:val="20"/>
        </w:rPr>
      </w:pPr>
    </w:p>
    <w:p w:rsidR="00807C56" w:rsidRPr="00370B4B" w:rsidRDefault="00807C56" w:rsidP="00807C56">
      <w:pPr>
        <w:autoSpaceDE w:val="0"/>
        <w:autoSpaceDN w:val="0"/>
        <w:adjustRightInd w:val="0"/>
        <w:spacing w:after="0" w:line="240" w:lineRule="auto"/>
        <w:rPr>
          <w:rFonts w:ascii="Arial" w:hAnsi="Arial" w:cs="Arial"/>
          <w:sz w:val="20"/>
          <w:szCs w:val="20"/>
        </w:rPr>
      </w:pPr>
    </w:p>
    <w:p w:rsidR="00807C56" w:rsidRDefault="00807C56" w:rsidP="00370B4B">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NATIONAL ASSEMBLY</w:t>
      </w:r>
    </w:p>
    <w:p w:rsidR="00370B4B" w:rsidRPr="00370B4B" w:rsidRDefault="00370B4B" w:rsidP="00370B4B">
      <w:pPr>
        <w:autoSpaceDE w:val="0"/>
        <w:autoSpaceDN w:val="0"/>
        <w:adjustRightInd w:val="0"/>
        <w:spacing w:after="0" w:line="240" w:lineRule="auto"/>
        <w:jc w:val="center"/>
        <w:rPr>
          <w:rFonts w:ascii="Arial" w:hAnsi="Arial" w:cs="Arial"/>
          <w:b/>
          <w:bCs/>
          <w:sz w:val="20"/>
          <w:szCs w:val="20"/>
        </w:rPr>
      </w:pPr>
    </w:p>
    <w:p w:rsidR="00370B4B" w:rsidRDefault="00807C56" w:rsidP="00370B4B">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QUESTIONS FOR WRITIEN REPLY</w:t>
      </w:r>
    </w:p>
    <w:p w:rsidR="00370B4B" w:rsidRDefault="00370B4B" w:rsidP="00370B4B">
      <w:pPr>
        <w:autoSpaceDE w:val="0"/>
        <w:autoSpaceDN w:val="0"/>
        <w:adjustRightInd w:val="0"/>
        <w:spacing w:after="0" w:line="240" w:lineRule="auto"/>
        <w:jc w:val="center"/>
        <w:rPr>
          <w:rFonts w:ascii="Arial" w:hAnsi="Arial" w:cs="Arial"/>
          <w:b/>
          <w:bCs/>
          <w:sz w:val="20"/>
          <w:szCs w:val="20"/>
        </w:rPr>
      </w:pPr>
    </w:p>
    <w:p w:rsidR="00807C56" w:rsidRDefault="00807C56" w:rsidP="00370B4B">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QUESTION NUMBER 2015/4201</w:t>
      </w:r>
    </w:p>
    <w:p w:rsidR="00370B4B" w:rsidRPr="00370B4B" w:rsidRDefault="00370B4B" w:rsidP="00370B4B">
      <w:pPr>
        <w:autoSpaceDE w:val="0"/>
        <w:autoSpaceDN w:val="0"/>
        <w:adjustRightInd w:val="0"/>
        <w:spacing w:after="0" w:line="240" w:lineRule="auto"/>
        <w:jc w:val="center"/>
        <w:rPr>
          <w:rFonts w:ascii="Arial" w:hAnsi="Arial" w:cs="Arial"/>
          <w:b/>
          <w:bCs/>
          <w:sz w:val="20"/>
          <w:szCs w:val="20"/>
        </w:rPr>
      </w:pPr>
    </w:p>
    <w:p w:rsidR="00807C56" w:rsidRPr="00370B4B" w:rsidRDefault="00807C56" w:rsidP="00370B4B">
      <w:pPr>
        <w:autoSpaceDE w:val="0"/>
        <w:autoSpaceDN w:val="0"/>
        <w:adjustRightInd w:val="0"/>
        <w:spacing w:after="0" w:line="240" w:lineRule="auto"/>
        <w:jc w:val="center"/>
        <w:rPr>
          <w:rFonts w:ascii="Arial" w:hAnsi="Arial" w:cs="Arial"/>
          <w:b/>
          <w:bCs/>
          <w:sz w:val="20"/>
          <w:szCs w:val="20"/>
        </w:rPr>
      </w:pPr>
      <w:r w:rsidRPr="00370B4B">
        <w:rPr>
          <w:rFonts w:ascii="Arial" w:hAnsi="Arial" w:cs="Arial"/>
          <w:b/>
          <w:bCs/>
          <w:sz w:val="20"/>
          <w:szCs w:val="20"/>
        </w:rPr>
        <w:t>DATE OF PUBLICATION: 30 NOVEMBER 2015</w:t>
      </w:r>
    </w:p>
    <w:p w:rsidR="00807C56" w:rsidRPr="00370B4B" w:rsidRDefault="00807C56" w:rsidP="00807C56">
      <w:pPr>
        <w:autoSpaceDE w:val="0"/>
        <w:autoSpaceDN w:val="0"/>
        <w:adjustRightInd w:val="0"/>
        <w:spacing w:after="0" w:line="240" w:lineRule="auto"/>
        <w:rPr>
          <w:rFonts w:ascii="Arial" w:hAnsi="Arial" w:cs="Arial"/>
          <w:sz w:val="20"/>
          <w:szCs w:val="20"/>
        </w:rPr>
      </w:pPr>
    </w:p>
    <w:p w:rsidR="00807C56" w:rsidRPr="00370B4B" w:rsidRDefault="00807C56" w:rsidP="00807C56">
      <w:pPr>
        <w:autoSpaceDE w:val="0"/>
        <w:autoSpaceDN w:val="0"/>
        <w:adjustRightInd w:val="0"/>
        <w:spacing w:after="0" w:line="240" w:lineRule="auto"/>
        <w:rPr>
          <w:rFonts w:ascii="Arial" w:hAnsi="Arial" w:cs="Arial"/>
          <w:sz w:val="20"/>
          <w:szCs w:val="20"/>
        </w:rPr>
      </w:pP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sz w:val="20"/>
          <w:szCs w:val="20"/>
        </w:rPr>
        <w:t xml:space="preserve">Herewith a reply drafted by: </w:t>
      </w:r>
      <w:r w:rsidRPr="00370B4B">
        <w:rPr>
          <w:rFonts w:ascii="Arial" w:hAnsi="Arial" w:cs="Arial"/>
          <w:sz w:val="20"/>
          <w:szCs w:val="20"/>
        </w:rPr>
        <w:tab/>
      </w:r>
      <w:r w:rsidRPr="00370B4B">
        <w:rPr>
          <w:rFonts w:ascii="Arial" w:hAnsi="Arial" w:cs="Arial"/>
          <w:sz w:val="20"/>
          <w:szCs w:val="20"/>
        </w:rPr>
        <w:tab/>
      </w:r>
      <w:r w:rsidRPr="00370B4B">
        <w:rPr>
          <w:rFonts w:ascii="Arial" w:hAnsi="Arial" w:cs="Arial"/>
          <w:sz w:val="20"/>
          <w:szCs w:val="20"/>
        </w:rPr>
        <w:tab/>
      </w:r>
      <w:r w:rsidRPr="00370B4B">
        <w:rPr>
          <w:rFonts w:ascii="Arial" w:hAnsi="Arial" w:cs="Arial"/>
          <w:sz w:val="20"/>
          <w:szCs w:val="20"/>
        </w:rPr>
        <w:tab/>
      </w:r>
      <w:r w:rsidR="00370B4B" w:rsidRPr="00370B4B">
        <w:rPr>
          <w:rFonts w:ascii="Arial" w:hAnsi="Arial" w:cs="Arial"/>
          <w:sz w:val="20"/>
          <w:szCs w:val="20"/>
        </w:rPr>
        <w:t xml:space="preserve">Recommended </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sz w:val="20"/>
          <w:szCs w:val="20"/>
        </w:rPr>
        <w:br/>
      </w:r>
      <w:r w:rsidRPr="00370B4B">
        <w:rPr>
          <w:rFonts w:ascii="Arial" w:hAnsi="Arial" w:cs="Arial"/>
          <w:b/>
          <w:sz w:val="20"/>
          <w:szCs w:val="20"/>
        </w:rPr>
        <w:t xml:space="preserve">MS B NYEMBE </w:t>
      </w:r>
      <w:r w:rsidRPr="00370B4B">
        <w:rPr>
          <w:rFonts w:ascii="Arial" w:hAnsi="Arial" w:cs="Arial"/>
          <w:b/>
          <w:sz w:val="20"/>
          <w:szCs w:val="20"/>
        </w:rPr>
        <w:tab/>
      </w:r>
      <w:r w:rsidRPr="00370B4B">
        <w:rPr>
          <w:rFonts w:ascii="Arial" w:hAnsi="Arial" w:cs="Arial"/>
          <w:b/>
          <w:sz w:val="20"/>
          <w:szCs w:val="20"/>
        </w:rPr>
        <w:tab/>
      </w:r>
      <w:r w:rsidRPr="00370B4B">
        <w:rPr>
          <w:rFonts w:ascii="Arial" w:hAnsi="Arial" w:cs="Arial"/>
          <w:b/>
          <w:sz w:val="20"/>
          <w:szCs w:val="20"/>
        </w:rPr>
        <w:tab/>
      </w:r>
      <w:r w:rsidRPr="00370B4B">
        <w:rPr>
          <w:rFonts w:ascii="Arial" w:hAnsi="Arial" w:cs="Arial"/>
          <w:b/>
          <w:sz w:val="20"/>
          <w:szCs w:val="20"/>
        </w:rPr>
        <w:tab/>
      </w:r>
      <w:r w:rsidRPr="00370B4B">
        <w:rPr>
          <w:rFonts w:ascii="Arial" w:hAnsi="Arial" w:cs="Arial"/>
          <w:b/>
          <w:sz w:val="20"/>
          <w:szCs w:val="20"/>
        </w:rPr>
        <w:tab/>
        <w:t>DR MODJADJI MALAHLELA</w:t>
      </w:r>
      <w:r w:rsidRPr="00370B4B">
        <w:rPr>
          <w:rFonts w:ascii="Arial" w:hAnsi="Arial" w:cs="Arial"/>
          <w:sz w:val="20"/>
          <w:szCs w:val="20"/>
        </w:rPr>
        <w:br/>
        <w:t>Acting Executive Manager: Local Government Acting Deputy Director-General: Regional and</w:t>
      </w:r>
      <w:r w:rsidR="00370B4B">
        <w:rPr>
          <w:rFonts w:ascii="Arial" w:hAnsi="Arial" w:cs="Arial"/>
          <w:sz w:val="20"/>
          <w:szCs w:val="20"/>
        </w:rPr>
        <w:t xml:space="preserve"> </w:t>
      </w:r>
      <w:r w:rsidRPr="00370B4B">
        <w:rPr>
          <w:rFonts w:ascii="Arial" w:hAnsi="Arial" w:cs="Arial"/>
          <w:sz w:val="20"/>
          <w:szCs w:val="20"/>
        </w:rPr>
        <w:t>Legislative Support and Institutional Urban Development and Legislative Support</w:t>
      </w:r>
      <w:r w:rsidR="00370B4B">
        <w:rPr>
          <w:rFonts w:ascii="Arial" w:hAnsi="Arial" w:cs="Arial"/>
          <w:sz w:val="20"/>
          <w:szCs w:val="20"/>
        </w:rPr>
        <w:t xml:space="preserve"> </w:t>
      </w:r>
      <w:r w:rsidRPr="00370B4B">
        <w:rPr>
          <w:rFonts w:ascii="Arial" w:hAnsi="Arial" w:cs="Arial"/>
          <w:sz w:val="20"/>
          <w:szCs w:val="20"/>
        </w:rPr>
        <w:t>Establishment</w:t>
      </w:r>
      <w:r w:rsidR="00370B4B">
        <w:rPr>
          <w:rFonts w:ascii="Arial" w:hAnsi="Arial" w:cs="Arial"/>
          <w:sz w:val="20"/>
          <w:szCs w:val="20"/>
        </w:rPr>
        <w:br/>
      </w:r>
      <w:r w:rsidR="00370B4B">
        <w:rPr>
          <w:rFonts w:ascii="Arial" w:hAnsi="Arial" w:cs="Arial"/>
          <w:sz w:val="20"/>
          <w:szCs w:val="20"/>
        </w:rPr>
        <w:br/>
      </w:r>
      <w:r w:rsidRPr="00370B4B">
        <w:rPr>
          <w:rFonts w:ascii="Arial" w:hAnsi="Arial" w:cs="Arial"/>
          <w:sz w:val="20"/>
          <w:szCs w:val="20"/>
        </w:rPr>
        <w:t xml:space="preserve">Date: </w:t>
      </w:r>
      <w:r w:rsidR="00370B4B">
        <w:rPr>
          <w:rFonts w:ascii="Arial" w:hAnsi="Arial" w:cs="Arial"/>
          <w:sz w:val="20"/>
          <w:szCs w:val="20"/>
        </w:rPr>
        <w:t xml:space="preserve">10/12/15 </w:t>
      </w:r>
      <w:r w:rsidR="00370B4B">
        <w:rPr>
          <w:rFonts w:ascii="Arial" w:hAnsi="Arial" w:cs="Arial"/>
          <w:sz w:val="20"/>
          <w:szCs w:val="20"/>
        </w:rPr>
        <w:tab/>
      </w:r>
      <w:r w:rsidR="00370B4B">
        <w:rPr>
          <w:rFonts w:ascii="Arial" w:hAnsi="Arial" w:cs="Arial"/>
          <w:sz w:val="20"/>
          <w:szCs w:val="20"/>
        </w:rPr>
        <w:tab/>
      </w:r>
      <w:r w:rsidR="00370B4B">
        <w:rPr>
          <w:rFonts w:ascii="Arial" w:hAnsi="Arial" w:cs="Arial"/>
          <w:sz w:val="20"/>
          <w:szCs w:val="20"/>
        </w:rPr>
        <w:tab/>
      </w:r>
      <w:r w:rsidR="00370B4B">
        <w:rPr>
          <w:rFonts w:ascii="Arial" w:hAnsi="Arial" w:cs="Arial"/>
          <w:sz w:val="20"/>
          <w:szCs w:val="20"/>
        </w:rPr>
        <w:tab/>
      </w:r>
      <w:r w:rsidR="00370B4B">
        <w:rPr>
          <w:rFonts w:ascii="Arial" w:hAnsi="Arial" w:cs="Arial"/>
          <w:sz w:val="20"/>
          <w:szCs w:val="20"/>
        </w:rPr>
        <w:tab/>
      </w:r>
      <w:r w:rsidR="00370B4B">
        <w:rPr>
          <w:rFonts w:ascii="Arial" w:hAnsi="Arial" w:cs="Arial"/>
          <w:sz w:val="20"/>
          <w:szCs w:val="20"/>
        </w:rPr>
        <w:tab/>
        <w:t>Date 2015-12-11</w:t>
      </w:r>
    </w:p>
    <w:p w:rsidR="00807C56" w:rsidRPr="00370B4B" w:rsidRDefault="00807C56" w:rsidP="00807C56">
      <w:pPr>
        <w:autoSpaceDE w:val="0"/>
        <w:autoSpaceDN w:val="0"/>
        <w:adjustRightInd w:val="0"/>
        <w:spacing w:after="0" w:line="240" w:lineRule="auto"/>
        <w:rPr>
          <w:rFonts w:ascii="Arial" w:hAnsi="Arial" w:cs="Arial"/>
          <w:sz w:val="20"/>
          <w:szCs w:val="20"/>
        </w:rPr>
      </w:pPr>
      <w:r w:rsidRPr="00370B4B">
        <w:rPr>
          <w:rFonts w:ascii="Arial" w:hAnsi="Arial" w:cs="Arial"/>
          <w:sz w:val="20"/>
          <w:szCs w:val="20"/>
        </w:rPr>
        <w:t>RECOMMENDED</w:t>
      </w:r>
      <w:proofErr w:type="gramStart"/>
      <w:r w:rsidRPr="00370B4B">
        <w:rPr>
          <w:rFonts w:ascii="Arial" w:hAnsi="Arial" w:cs="Arial"/>
          <w:sz w:val="20"/>
          <w:szCs w:val="20"/>
        </w:rPr>
        <w:t xml:space="preserve">/ </w:t>
      </w:r>
      <w:r w:rsidR="00370B4B">
        <w:rPr>
          <w:rFonts w:ascii="Arial" w:hAnsi="Arial" w:cs="Arial"/>
          <w:sz w:val="20"/>
          <w:szCs w:val="20"/>
        </w:rPr>
        <w:t>...........................................</w:t>
      </w:r>
      <w:proofErr w:type="gramEnd"/>
    </w:p>
    <w:p w:rsidR="00807C56" w:rsidRPr="00370B4B" w:rsidRDefault="00370B4B" w:rsidP="00807C56">
      <w:pPr>
        <w:autoSpaceDE w:val="0"/>
        <w:autoSpaceDN w:val="0"/>
        <w:adjustRightInd w:val="0"/>
        <w:spacing w:after="0" w:line="240" w:lineRule="auto"/>
        <w:rPr>
          <w:rFonts w:ascii="Arial" w:hAnsi="Arial" w:cs="Arial"/>
          <w:i/>
          <w:iCs/>
          <w:sz w:val="20"/>
          <w:szCs w:val="20"/>
        </w:rPr>
      </w:pPr>
      <w:r>
        <w:rPr>
          <w:rFonts w:ascii="Arial" w:hAnsi="Arial" w:cs="Arial"/>
          <w:sz w:val="20"/>
          <w:szCs w:val="20"/>
        </w:rPr>
        <w:br/>
      </w:r>
      <w:r>
        <w:rPr>
          <w:rFonts w:ascii="Arial" w:hAnsi="Arial" w:cs="Arial"/>
          <w:sz w:val="20"/>
          <w:szCs w:val="20"/>
        </w:rPr>
        <w:br/>
      </w:r>
      <w:r>
        <w:rPr>
          <w:rFonts w:ascii="Arial" w:hAnsi="Arial" w:cs="Arial"/>
          <w:b/>
          <w:bCs/>
          <w:sz w:val="20"/>
          <w:szCs w:val="20"/>
        </w:rPr>
        <w:t>MR V MADON</w:t>
      </w:r>
      <w:r w:rsidR="00807C56" w:rsidRPr="00370B4B">
        <w:rPr>
          <w:rFonts w:ascii="Arial" w:hAnsi="Arial" w:cs="Arial"/>
          <w:b/>
          <w:bCs/>
          <w:sz w:val="20"/>
          <w:szCs w:val="20"/>
        </w:rPr>
        <w:t>SELA</w:t>
      </w:r>
      <w:r>
        <w:rPr>
          <w:rFonts w:ascii="Arial" w:hAnsi="Arial" w:cs="Arial"/>
          <w:b/>
          <w:bCs/>
          <w:sz w:val="20"/>
          <w:szCs w:val="20"/>
        </w:rPr>
        <w:br/>
        <w:t>DIRE</w:t>
      </w:r>
      <w:r w:rsidR="00807C56" w:rsidRPr="00370B4B">
        <w:rPr>
          <w:rFonts w:ascii="Arial" w:hAnsi="Arial" w:cs="Arial"/>
          <w:b/>
          <w:bCs/>
          <w:sz w:val="20"/>
          <w:szCs w:val="20"/>
        </w:rPr>
        <w:t>CTO</w:t>
      </w:r>
      <w:r>
        <w:rPr>
          <w:rFonts w:ascii="Arial" w:hAnsi="Arial" w:cs="Arial"/>
          <w:b/>
          <w:bCs/>
          <w:sz w:val="20"/>
          <w:szCs w:val="20"/>
        </w:rPr>
        <w:t>R</w:t>
      </w:r>
      <w:r w:rsidR="00807C56" w:rsidRPr="00370B4B">
        <w:rPr>
          <w:rFonts w:ascii="Arial" w:hAnsi="Arial" w:cs="Arial"/>
          <w:b/>
          <w:bCs/>
          <w:sz w:val="20"/>
          <w:szCs w:val="20"/>
        </w:rPr>
        <w:t xml:space="preserve"> </w:t>
      </w:r>
      <w:r>
        <w:rPr>
          <w:rFonts w:ascii="Arial" w:hAnsi="Arial" w:cs="Arial"/>
          <w:b/>
          <w:bCs/>
          <w:sz w:val="20"/>
          <w:szCs w:val="20"/>
        </w:rPr>
        <w:t>G</w:t>
      </w:r>
      <w:r w:rsidR="00807C56" w:rsidRPr="00370B4B">
        <w:rPr>
          <w:rFonts w:ascii="Arial" w:hAnsi="Arial" w:cs="Arial"/>
          <w:b/>
          <w:bCs/>
          <w:sz w:val="20"/>
          <w:szCs w:val="20"/>
        </w:rPr>
        <w:t>ENERAL</w:t>
      </w:r>
      <w:r>
        <w:rPr>
          <w:rFonts w:ascii="Arial" w:hAnsi="Arial" w:cs="Arial"/>
          <w:b/>
          <w:bCs/>
          <w:sz w:val="20"/>
          <w:szCs w:val="20"/>
        </w:rPr>
        <w:br/>
      </w:r>
      <w:r w:rsidR="00807C56" w:rsidRPr="00370B4B">
        <w:rPr>
          <w:rFonts w:ascii="Arial" w:hAnsi="Arial" w:cs="Arial"/>
          <w:b/>
          <w:bCs/>
          <w:sz w:val="20"/>
          <w:szCs w:val="20"/>
        </w:rPr>
        <w:t xml:space="preserve">DATE: </w:t>
      </w:r>
      <w:r>
        <w:rPr>
          <w:rFonts w:ascii="Arial" w:hAnsi="Arial" w:cs="Arial"/>
          <w:b/>
          <w:bCs/>
          <w:sz w:val="20"/>
          <w:szCs w:val="20"/>
        </w:rPr>
        <w:t>11/12/2015</w:t>
      </w:r>
      <w:r>
        <w:rPr>
          <w:rFonts w:ascii="Arial" w:hAnsi="Arial" w:cs="Arial"/>
          <w:b/>
          <w:bCs/>
          <w:sz w:val="20"/>
          <w:szCs w:val="20"/>
        </w:rPr>
        <w:br/>
      </w:r>
    </w:p>
    <w:p w:rsidR="00807C56" w:rsidRPr="0091696D" w:rsidRDefault="00807C56" w:rsidP="00807C56">
      <w:pPr>
        <w:autoSpaceDE w:val="0"/>
        <w:autoSpaceDN w:val="0"/>
        <w:adjustRightInd w:val="0"/>
        <w:spacing w:after="0" w:line="240" w:lineRule="auto"/>
        <w:rPr>
          <w:rFonts w:ascii="Arial" w:hAnsi="Arial" w:cs="Arial"/>
          <w:b/>
          <w:sz w:val="20"/>
          <w:szCs w:val="20"/>
        </w:rPr>
      </w:pPr>
      <w:proofErr w:type="gramStart"/>
      <w:r w:rsidRPr="00370B4B">
        <w:rPr>
          <w:rFonts w:ascii="Arial" w:hAnsi="Arial" w:cs="Arial"/>
          <w:sz w:val="20"/>
          <w:szCs w:val="20"/>
        </w:rPr>
        <w:t>SUPPORTED</w:t>
      </w:r>
      <w:r w:rsidR="00370B4B">
        <w:rPr>
          <w:rFonts w:ascii="Arial" w:hAnsi="Arial" w:cs="Arial"/>
          <w:sz w:val="20"/>
          <w:szCs w:val="20"/>
        </w:rPr>
        <w:t>/..........................................................</w:t>
      </w:r>
      <w:proofErr w:type="gramEnd"/>
      <w:r w:rsidR="00370B4B">
        <w:rPr>
          <w:rFonts w:ascii="Arial" w:hAnsi="Arial" w:cs="Arial"/>
          <w:sz w:val="20"/>
          <w:szCs w:val="20"/>
        </w:rPr>
        <w:br/>
      </w:r>
      <w:r w:rsidR="00370B4B">
        <w:rPr>
          <w:rFonts w:ascii="Arial" w:hAnsi="Arial" w:cs="Arial"/>
          <w:sz w:val="20"/>
          <w:szCs w:val="20"/>
        </w:rPr>
        <w:br/>
      </w:r>
      <w:r w:rsidRPr="00370B4B">
        <w:rPr>
          <w:rFonts w:ascii="Arial" w:hAnsi="Arial" w:cs="Arial"/>
          <w:b/>
          <w:bCs/>
          <w:sz w:val="20"/>
          <w:szCs w:val="20"/>
        </w:rPr>
        <w:t>MR</w:t>
      </w:r>
      <w:r w:rsidR="00370B4B">
        <w:rPr>
          <w:rFonts w:ascii="Arial" w:hAnsi="Arial" w:cs="Arial"/>
          <w:b/>
          <w:bCs/>
          <w:sz w:val="20"/>
          <w:szCs w:val="20"/>
        </w:rPr>
        <w:t xml:space="preserve"> </w:t>
      </w:r>
      <w:r w:rsidRPr="00370B4B">
        <w:rPr>
          <w:rFonts w:ascii="Arial" w:hAnsi="Arial" w:cs="Arial"/>
          <w:b/>
          <w:bCs/>
          <w:sz w:val="20"/>
          <w:szCs w:val="20"/>
        </w:rPr>
        <w:t>A</w:t>
      </w:r>
      <w:r w:rsidR="00370B4B">
        <w:rPr>
          <w:rFonts w:ascii="Arial" w:hAnsi="Arial" w:cs="Arial"/>
          <w:b/>
          <w:bCs/>
          <w:sz w:val="20"/>
          <w:szCs w:val="20"/>
        </w:rPr>
        <w:t xml:space="preserve"> </w:t>
      </w:r>
      <w:r w:rsidRPr="00370B4B">
        <w:rPr>
          <w:rFonts w:ascii="Arial" w:hAnsi="Arial" w:cs="Arial"/>
          <w:b/>
          <w:bCs/>
          <w:sz w:val="20"/>
          <w:szCs w:val="20"/>
        </w:rPr>
        <w:t>NEL, MP</w:t>
      </w:r>
      <w:r w:rsidR="00370B4B">
        <w:rPr>
          <w:rFonts w:ascii="Arial" w:hAnsi="Arial" w:cs="Arial"/>
          <w:b/>
          <w:bCs/>
          <w:sz w:val="20"/>
          <w:szCs w:val="20"/>
        </w:rPr>
        <w:br/>
      </w:r>
      <w:r w:rsidRPr="00370B4B">
        <w:rPr>
          <w:rFonts w:ascii="Arial" w:hAnsi="Arial" w:cs="Arial"/>
          <w:b/>
          <w:bCs/>
          <w:sz w:val="20"/>
          <w:szCs w:val="20"/>
        </w:rPr>
        <w:t>DEPUTY MINISTER</w:t>
      </w:r>
      <w:r w:rsidR="00370B4B">
        <w:rPr>
          <w:rFonts w:ascii="Arial" w:hAnsi="Arial" w:cs="Arial"/>
          <w:b/>
          <w:bCs/>
          <w:sz w:val="20"/>
          <w:szCs w:val="20"/>
        </w:rPr>
        <w:br/>
      </w:r>
      <w:r w:rsidRPr="00370B4B">
        <w:rPr>
          <w:rFonts w:ascii="Arial" w:hAnsi="Arial" w:cs="Arial"/>
          <w:b/>
          <w:bCs/>
          <w:sz w:val="20"/>
          <w:szCs w:val="20"/>
        </w:rPr>
        <w:t xml:space="preserve">DATE: </w:t>
      </w:r>
      <w:r w:rsidR="00370B4B">
        <w:rPr>
          <w:rFonts w:ascii="Arial" w:hAnsi="Arial" w:cs="Arial"/>
          <w:b/>
          <w:bCs/>
          <w:sz w:val="20"/>
          <w:szCs w:val="20"/>
        </w:rPr>
        <w:t>15/12/15</w:t>
      </w:r>
      <w:r w:rsidRPr="00370B4B">
        <w:rPr>
          <w:rFonts w:ascii="Arial" w:hAnsi="Arial" w:cs="Arial"/>
          <w:sz w:val="20"/>
          <w:szCs w:val="20"/>
        </w:rPr>
        <w:br/>
      </w:r>
      <w:r w:rsidR="00370B4B">
        <w:rPr>
          <w:rFonts w:ascii="Arial" w:hAnsi="Arial" w:cs="Arial"/>
          <w:b/>
          <w:bCs/>
          <w:sz w:val="20"/>
          <w:szCs w:val="20"/>
        </w:rPr>
        <w:br/>
      </w:r>
      <w:r w:rsidR="00370B4B">
        <w:rPr>
          <w:rFonts w:ascii="Arial" w:hAnsi="Arial" w:cs="Arial"/>
          <w:b/>
          <w:bCs/>
          <w:sz w:val="20"/>
          <w:szCs w:val="20"/>
        </w:rPr>
        <w:br/>
      </w:r>
      <w:r w:rsidRPr="00370B4B">
        <w:rPr>
          <w:rFonts w:ascii="Arial" w:hAnsi="Arial" w:cs="Arial"/>
          <w:b/>
          <w:bCs/>
          <w:sz w:val="20"/>
          <w:szCs w:val="20"/>
        </w:rPr>
        <w:t>DES VAN ROOYEN, MP</w:t>
      </w:r>
      <w:r w:rsidR="00370B4B">
        <w:rPr>
          <w:rFonts w:ascii="Arial" w:hAnsi="Arial" w:cs="Arial"/>
          <w:b/>
          <w:bCs/>
          <w:sz w:val="20"/>
          <w:szCs w:val="20"/>
        </w:rPr>
        <w:br/>
      </w:r>
      <w:r w:rsidRPr="00370B4B">
        <w:rPr>
          <w:rFonts w:ascii="Arial" w:hAnsi="Arial" w:cs="Arial"/>
          <w:b/>
          <w:bCs/>
          <w:sz w:val="20"/>
          <w:szCs w:val="20"/>
        </w:rPr>
        <w:t>MINISTER</w:t>
      </w:r>
      <w:r w:rsidR="00370B4B">
        <w:rPr>
          <w:rFonts w:ascii="Arial" w:hAnsi="Arial" w:cs="Arial"/>
          <w:b/>
          <w:bCs/>
          <w:sz w:val="20"/>
          <w:szCs w:val="20"/>
        </w:rPr>
        <w:br/>
      </w:r>
      <w:r w:rsidRPr="00370B4B">
        <w:rPr>
          <w:rFonts w:ascii="Arial" w:hAnsi="Arial" w:cs="Arial"/>
          <w:b/>
          <w:bCs/>
          <w:sz w:val="20"/>
          <w:szCs w:val="20"/>
        </w:rPr>
        <w:t>DATE</w:t>
      </w:r>
      <w:proofErr w:type="gramStart"/>
      <w:r w:rsidRPr="00370B4B">
        <w:rPr>
          <w:rFonts w:ascii="Arial" w:hAnsi="Arial" w:cs="Arial"/>
          <w:b/>
          <w:bCs/>
          <w:sz w:val="20"/>
          <w:szCs w:val="20"/>
        </w:rPr>
        <w:t>:</w:t>
      </w:r>
      <w:proofErr w:type="gramEnd"/>
      <w:r w:rsidR="00370B4B">
        <w:rPr>
          <w:rFonts w:ascii="Arial" w:hAnsi="Arial" w:cs="Arial"/>
          <w:sz w:val="20"/>
          <w:szCs w:val="20"/>
        </w:rPr>
        <w:br/>
      </w:r>
      <w:r w:rsidR="0091696D">
        <w:rPr>
          <w:rFonts w:ascii="Arial" w:hAnsi="Arial" w:cs="Arial"/>
          <w:sz w:val="20"/>
          <w:szCs w:val="20"/>
        </w:rPr>
        <w:br/>
      </w:r>
      <w:r w:rsidR="0091696D" w:rsidRPr="0091696D">
        <w:rPr>
          <w:rFonts w:ascii="Arial" w:hAnsi="Arial" w:cs="Arial"/>
          <w:b/>
          <w:sz w:val="20"/>
          <w:szCs w:val="20"/>
        </w:rPr>
        <w:t xml:space="preserve">Attached please find here: </w:t>
      </w:r>
      <w:hyperlink r:id="rId4" w:history="1">
        <w:r w:rsidR="0091696D" w:rsidRPr="0091696D">
          <w:rPr>
            <w:rStyle w:val="Hyperlink"/>
            <w:rFonts w:ascii="Arial" w:hAnsi="Arial" w:cs="Arial"/>
            <w:b/>
            <w:sz w:val="20"/>
            <w:szCs w:val="20"/>
          </w:rPr>
          <w:t>Route Form</w:t>
        </w:r>
      </w:hyperlink>
      <w:r w:rsidR="0091696D" w:rsidRPr="0091696D">
        <w:rPr>
          <w:rFonts w:ascii="Arial" w:hAnsi="Arial" w:cs="Arial"/>
          <w:b/>
          <w:sz w:val="20"/>
          <w:szCs w:val="20"/>
        </w:rPr>
        <w:t xml:space="preserve"> </w:t>
      </w:r>
    </w:p>
    <w:sectPr w:rsidR="00807C56" w:rsidRPr="0091696D" w:rsidSect="006B0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07C56"/>
    <w:rsid w:val="00370B4B"/>
    <w:rsid w:val="006B0FCF"/>
    <w:rsid w:val="00807C56"/>
    <w:rsid w:val="009169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69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4201rout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2016-02-12T10:18:00Z</dcterms:created>
  <dcterms:modified xsi:type="dcterms:W3CDTF">2016-02-12T10:18:00Z</dcterms:modified>
</cp:coreProperties>
</file>