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E72CF9">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0</wp:posOffset>
            </wp:positionH>
            <wp:positionV relativeFrom="line">
              <wp:posOffset>0</wp:posOffset>
            </wp:positionV>
            <wp:extent cx="0" cy="0"/>
            <wp:effectExtent l="0" t="0" r="1270" b="1270"/>
            <wp:wrapNone/>
            <wp:docPr id="5"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0" cy="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D20CAA" w:rsidRDefault="00D20CAA" w:rsidP="005450F6">
      <w:pPr>
        <w:pStyle w:val="Body1"/>
        <w:spacing w:line="276" w:lineRule="auto"/>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D20CAA">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D20CAA">
      <w:pPr>
        <w:pStyle w:val="Body1"/>
        <w:spacing w:line="276" w:lineRule="auto"/>
        <w:jc w:val="center"/>
        <w:rPr>
          <w:rFonts w:ascii="Arial" w:hAnsi="Arial" w:cs="Arial"/>
          <w:b/>
          <w:sz w:val="24"/>
          <w:szCs w:val="24"/>
        </w:rPr>
      </w:pPr>
    </w:p>
    <w:p w:rsidR="00BA7B88" w:rsidRPr="00F45438" w:rsidRDefault="00BA7B88" w:rsidP="00D20CAA">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D20CAA">
      <w:pPr>
        <w:pStyle w:val="Body1"/>
        <w:spacing w:line="276" w:lineRule="auto"/>
        <w:rPr>
          <w:rFonts w:ascii="Arial" w:hAnsi="Arial" w:cs="Arial"/>
          <w:b/>
          <w:sz w:val="24"/>
          <w:szCs w:val="24"/>
        </w:rPr>
      </w:pPr>
    </w:p>
    <w:p w:rsidR="00BA7B88" w:rsidRPr="00410A00" w:rsidRDefault="00EA4FD5" w:rsidP="00D20CAA">
      <w:pPr>
        <w:pStyle w:val="Body1"/>
        <w:spacing w:line="276" w:lineRule="auto"/>
        <w:rPr>
          <w:rFonts w:ascii="Arial" w:hAnsi="Arial" w:cs="Arial"/>
          <w:b/>
          <w:sz w:val="24"/>
          <w:szCs w:val="24"/>
        </w:rPr>
      </w:pPr>
      <w:r w:rsidRPr="00410A00">
        <w:rPr>
          <w:rFonts w:ascii="Arial" w:hAnsi="Arial" w:cs="Arial"/>
          <w:b/>
          <w:sz w:val="24"/>
          <w:szCs w:val="24"/>
        </w:rPr>
        <w:t>QUESTION NO</w:t>
      </w:r>
      <w:r w:rsidRPr="00EF2196">
        <w:rPr>
          <w:rFonts w:ascii="Arial Black" w:hAnsi="Arial Black" w:cs="Arial"/>
          <w:sz w:val="24"/>
          <w:szCs w:val="24"/>
        </w:rPr>
        <w:t>.:</w:t>
      </w:r>
      <w:r w:rsidR="00447650" w:rsidRPr="00EF2196">
        <w:rPr>
          <w:rFonts w:ascii="Arial Black" w:hAnsi="Arial Black" w:cs="Arial"/>
          <w:sz w:val="24"/>
          <w:szCs w:val="24"/>
        </w:rPr>
        <w:t xml:space="preserve"> </w:t>
      </w:r>
      <w:r w:rsidR="00EF2196" w:rsidRPr="00EF2196">
        <w:rPr>
          <w:rFonts w:ascii="Arial" w:hAnsi="Arial" w:cs="Arial"/>
          <w:b/>
          <w:sz w:val="24"/>
          <w:szCs w:val="24"/>
        </w:rPr>
        <w:t>4173.</w:t>
      </w:r>
      <w:r w:rsidR="00EF2196" w:rsidRPr="00EF2196">
        <w:rPr>
          <w:rFonts w:ascii="Arial Black" w:hAnsi="Arial Black" w:cs="Arial"/>
          <w:sz w:val="24"/>
          <w:szCs w:val="24"/>
        </w:rPr>
        <w:tab/>
      </w:r>
      <w:r w:rsidR="00410A00" w:rsidRPr="00410A00">
        <w:rPr>
          <w:rFonts w:ascii="Arial" w:hAnsi="Arial" w:cs="Arial"/>
          <w:b/>
          <w:sz w:val="24"/>
          <w:szCs w:val="24"/>
        </w:rPr>
        <w:tab/>
      </w:r>
      <w:r w:rsidR="004B1BEF" w:rsidRPr="00410A00">
        <w:rPr>
          <w:rFonts w:ascii="Arial" w:hAnsi="Arial" w:cs="Arial"/>
          <w:b/>
          <w:sz w:val="24"/>
          <w:szCs w:val="24"/>
        </w:rPr>
        <w:tab/>
      </w:r>
      <w:r w:rsidR="003028D3" w:rsidRPr="00410A00">
        <w:rPr>
          <w:rFonts w:ascii="Arial" w:hAnsi="Arial" w:cs="Arial"/>
          <w:b/>
          <w:sz w:val="24"/>
          <w:szCs w:val="24"/>
        </w:rPr>
        <w:tab/>
      </w:r>
      <w:r w:rsidR="001147C9" w:rsidRPr="00410A00">
        <w:rPr>
          <w:rFonts w:ascii="Arial" w:hAnsi="Arial" w:cs="Arial"/>
          <w:b/>
          <w:sz w:val="24"/>
          <w:szCs w:val="24"/>
        </w:rPr>
        <w:tab/>
      </w:r>
      <w:r w:rsidR="00A0326A" w:rsidRPr="00410A00">
        <w:rPr>
          <w:rFonts w:ascii="Arial" w:hAnsi="Arial" w:cs="Arial"/>
          <w:b/>
          <w:sz w:val="24"/>
          <w:szCs w:val="24"/>
        </w:rPr>
        <w:tab/>
      </w:r>
      <w:r w:rsidR="00417319" w:rsidRPr="00410A00">
        <w:rPr>
          <w:rFonts w:ascii="Arial" w:hAnsi="Arial" w:cs="Arial"/>
          <w:b/>
          <w:sz w:val="24"/>
          <w:szCs w:val="24"/>
          <w:lang w:val="af-ZA"/>
        </w:rPr>
        <w:tab/>
      </w:r>
      <w:r w:rsidR="005450F6" w:rsidRPr="00410A00">
        <w:rPr>
          <w:rFonts w:ascii="Arial" w:hAnsi="Arial" w:cs="Arial"/>
          <w:b/>
          <w:sz w:val="24"/>
          <w:szCs w:val="24"/>
        </w:rPr>
        <w:tab/>
      </w:r>
      <w:r w:rsidR="00DF7F34" w:rsidRPr="00410A00">
        <w:rPr>
          <w:rFonts w:ascii="Arial" w:hAnsi="Arial" w:cs="Arial"/>
          <w:b/>
          <w:sz w:val="24"/>
          <w:szCs w:val="24"/>
        </w:rPr>
        <w:tab/>
      </w:r>
    </w:p>
    <w:p w:rsidR="001147C9" w:rsidRDefault="001147C9" w:rsidP="001147C9">
      <w:pPr>
        <w:ind w:left="709" w:hanging="709"/>
        <w:jc w:val="both"/>
        <w:rPr>
          <w:rFonts w:ascii="Arial" w:hAnsi="Arial" w:cs="Arial"/>
          <w:b/>
        </w:rPr>
      </w:pPr>
    </w:p>
    <w:p w:rsidR="00EF2196" w:rsidRPr="00EF2196" w:rsidRDefault="00EF2196" w:rsidP="00EF2196">
      <w:pPr>
        <w:spacing w:before="100" w:beforeAutospacing="1" w:after="100" w:afterAutospacing="1" w:line="276" w:lineRule="auto"/>
        <w:jc w:val="both"/>
        <w:outlineLvl w:val="0"/>
        <w:rPr>
          <w:rFonts w:ascii="Arial" w:hAnsi="Arial" w:cs="Arial"/>
          <w:b/>
        </w:rPr>
      </w:pPr>
      <w:r w:rsidRPr="00EF2196">
        <w:rPr>
          <w:rFonts w:ascii="Arial" w:hAnsi="Arial" w:cs="Arial"/>
          <w:b/>
        </w:rPr>
        <w:t>Ms A T Lovemore (DA) to ask the Minister of Public Service and Administration:</w:t>
      </w:r>
    </w:p>
    <w:p w:rsidR="00EF2196" w:rsidRPr="00EF2196" w:rsidRDefault="00EF2196" w:rsidP="00EF2196">
      <w:pPr>
        <w:spacing w:before="100" w:beforeAutospacing="1" w:after="100" w:afterAutospacing="1" w:line="276" w:lineRule="auto"/>
        <w:ind w:left="720" w:hanging="720"/>
        <w:jc w:val="both"/>
        <w:outlineLvl w:val="0"/>
        <w:rPr>
          <w:rFonts w:ascii="Arial" w:hAnsi="Arial" w:cs="Arial"/>
        </w:rPr>
      </w:pPr>
      <w:r w:rsidRPr="00EF2196">
        <w:rPr>
          <w:rFonts w:ascii="Arial" w:hAnsi="Arial" w:cs="Arial"/>
        </w:rPr>
        <w:t>(1)</w:t>
      </w:r>
      <w:r w:rsidRPr="00EF2196">
        <w:rPr>
          <w:rFonts w:ascii="Arial" w:hAnsi="Arial" w:cs="Arial"/>
        </w:rPr>
        <w:tab/>
        <w:t>(a) For which (i) departments and/or (ii) municipalities were citizen report cards compiled in the (aa) 2013-14, (bb) 2014-15 and (cc) 2015-16 financial years and (b) on what basis were the specified selections made;</w:t>
      </w:r>
    </w:p>
    <w:p w:rsidR="00EF2196" w:rsidRPr="00EF2196" w:rsidRDefault="00EF2196" w:rsidP="00EF2196">
      <w:pPr>
        <w:spacing w:before="100" w:beforeAutospacing="1" w:after="100" w:afterAutospacing="1" w:line="276" w:lineRule="auto"/>
        <w:ind w:left="720" w:hanging="720"/>
        <w:jc w:val="both"/>
        <w:outlineLvl w:val="0"/>
        <w:rPr>
          <w:rFonts w:ascii="Arial" w:hAnsi="Arial" w:cs="Arial"/>
        </w:rPr>
      </w:pPr>
      <w:r w:rsidRPr="00EF2196">
        <w:rPr>
          <w:rFonts w:ascii="Arial" w:hAnsi="Arial" w:cs="Arial"/>
        </w:rPr>
        <w:t>(2)</w:t>
      </w:r>
      <w:r w:rsidRPr="00EF2196">
        <w:rPr>
          <w:rFonts w:ascii="Arial" w:hAnsi="Arial" w:cs="Arial"/>
        </w:rPr>
        <w:tab/>
        <w:t>(a) what were the scores for each of the entities assessed in the specified financial years, expressed as the (i) overall score and (ii) score per assessed aspect for each assessed entity, (b)(i) what score is considered acceptable for each aspect and (ii) why and (c) what are the details of the action taken in the event of a score that indicates unacceptable customer service?</w:t>
      </w:r>
      <w:r w:rsidRPr="00EF2196">
        <w:rPr>
          <w:rFonts w:ascii="Arial" w:hAnsi="Arial" w:cs="Arial"/>
        </w:rPr>
        <w:tab/>
      </w:r>
      <w:r w:rsidRPr="00EF2196">
        <w:rPr>
          <w:rFonts w:ascii="Arial" w:hAnsi="Arial" w:cs="Arial"/>
        </w:rPr>
        <w:tab/>
      </w:r>
      <w:r w:rsidRPr="00EF2196">
        <w:rPr>
          <w:rFonts w:ascii="Arial" w:hAnsi="Arial" w:cs="Arial"/>
        </w:rPr>
        <w:tab/>
      </w:r>
      <w:r w:rsidRPr="00EF2196">
        <w:rPr>
          <w:rFonts w:ascii="Arial" w:hAnsi="Arial" w:cs="Arial"/>
        </w:rPr>
        <w:tab/>
      </w:r>
      <w:r w:rsidRPr="00EF2196">
        <w:rPr>
          <w:rFonts w:ascii="Arial" w:hAnsi="Arial" w:cs="Arial"/>
        </w:rPr>
        <w:tab/>
      </w:r>
      <w:r w:rsidRPr="00EF2196">
        <w:rPr>
          <w:rFonts w:ascii="Arial" w:hAnsi="Arial" w:cs="Arial"/>
        </w:rPr>
        <w:tab/>
      </w:r>
      <w:r w:rsidRPr="00EF2196">
        <w:rPr>
          <w:rFonts w:ascii="Arial" w:hAnsi="Arial" w:cs="Arial"/>
        </w:rPr>
        <w:tab/>
      </w:r>
      <w:r w:rsidRPr="00EF2196">
        <w:rPr>
          <w:rFonts w:ascii="Arial" w:hAnsi="Arial" w:cs="Arial"/>
        </w:rPr>
        <w:tab/>
      </w:r>
      <w:r w:rsidRPr="00EF2196">
        <w:rPr>
          <w:rFonts w:ascii="Arial" w:hAnsi="Arial" w:cs="Arial"/>
        </w:rPr>
        <w:tab/>
      </w:r>
      <w:r w:rsidRPr="00EF2196">
        <w:rPr>
          <w:rFonts w:ascii="Arial" w:hAnsi="Arial" w:cs="Arial"/>
        </w:rPr>
        <w:tab/>
      </w:r>
      <w:r w:rsidRPr="00EF2196">
        <w:rPr>
          <w:rFonts w:ascii="Arial" w:hAnsi="Arial" w:cs="Arial"/>
        </w:rPr>
        <w:tab/>
      </w:r>
      <w:r w:rsidRPr="00EF2196">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F2196">
        <w:rPr>
          <w:rFonts w:ascii="Arial" w:hAnsi="Arial" w:cs="Arial"/>
        </w:rPr>
        <w:t>NW5049E</w:t>
      </w:r>
    </w:p>
    <w:p w:rsidR="00D20CAA" w:rsidRDefault="00D20CAA" w:rsidP="005450F6">
      <w:pPr>
        <w:tabs>
          <w:tab w:val="left" w:pos="7545"/>
        </w:tabs>
        <w:spacing w:before="100" w:beforeAutospacing="1" w:after="100" w:afterAutospacing="1" w:line="276" w:lineRule="auto"/>
        <w:jc w:val="both"/>
        <w:rPr>
          <w:rFonts w:ascii="Arial" w:hAnsi="Arial" w:cs="Arial"/>
          <w:b/>
          <w:lang w:val="en-ZA"/>
        </w:rPr>
      </w:pPr>
    </w:p>
    <w:p w:rsidR="00D27283" w:rsidRPr="00F45438" w:rsidRDefault="004B1243" w:rsidP="005450F6">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D85EEC" w:rsidRDefault="00AA7AA3" w:rsidP="00346749">
      <w:pPr>
        <w:pStyle w:val="NoSpacing"/>
        <w:numPr>
          <w:ilvl w:val="0"/>
          <w:numId w:val="7"/>
        </w:numPr>
        <w:tabs>
          <w:tab w:val="left" w:pos="720"/>
          <w:tab w:val="left" w:pos="1440"/>
          <w:tab w:val="left" w:pos="2160"/>
        </w:tabs>
        <w:spacing w:line="276" w:lineRule="auto"/>
        <w:ind w:left="3600" w:hanging="3600"/>
        <w:jc w:val="both"/>
        <w:rPr>
          <w:rFonts w:ascii="Arial" w:hAnsi="Arial" w:cs="Arial"/>
          <w:sz w:val="24"/>
          <w:szCs w:val="24"/>
        </w:rPr>
      </w:pPr>
      <w:r w:rsidRPr="00AA7AA3">
        <w:rPr>
          <w:rFonts w:ascii="Arial" w:hAnsi="Arial" w:cs="Arial"/>
          <w:sz w:val="24"/>
          <w:szCs w:val="24"/>
        </w:rPr>
        <w:t>(a)</w:t>
      </w:r>
      <w:r w:rsidR="00346749">
        <w:rPr>
          <w:rFonts w:ascii="Arial" w:hAnsi="Arial" w:cs="Arial"/>
          <w:sz w:val="24"/>
          <w:szCs w:val="24"/>
        </w:rPr>
        <w:tab/>
        <w:t>(i)</w:t>
      </w:r>
      <w:r w:rsidR="00346749">
        <w:rPr>
          <w:rFonts w:ascii="Arial" w:hAnsi="Arial" w:cs="Arial"/>
          <w:sz w:val="24"/>
          <w:szCs w:val="24"/>
        </w:rPr>
        <w:tab/>
        <w:t>(aa)(bb)</w:t>
      </w:r>
      <w:r w:rsidR="00346749">
        <w:rPr>
          <w:rFonts w:ascii="Arial" w:hAnsi="Arial" w:cs="Arial"/>
          <w:sz w:val="24"/>
          <w:szCs w:val="24"/>
        </w:rPr>
        <w:tab/>
      </w:r>
      <w:r w:rsidRPr="00AA7AA3">
        <w:rPr>
          <w:rFonts w:ascii="Arial" w:hAnsi="Arial" w:cs="Arial"/>
          <w:sz w:val="24"/>
          <w:szCs w:val="24"/>
        </w:rPr>
        <w:t>The Citizen Report Cards</w:t>
      </w:r>
      <w:r>
        <w:rPr>
          <w:rFonts w:ascii="Arial" w:hAnsi="Arial" w:cs="Arial"/>
          <w:sz w:val="24"/>
          <w:szCs w:val="24"/>
        </w:rPr>
        <w:t xml:space="preserve"> (CRC)</w:t>
      </w:r>
      <w:r w:rsidRPr="00AA7AA3">
        <w:rPr>
          <w:rFonts w:ascii="Arial" w:hAnsi="Arial" w:cs="Arial"/>
          <w:sz w:val="24"/>
          <w:szCs w:val="24"/>
        </w:rPr>
        <w:t xml:space="preserve"> were compiled for the </w:t>
      </w:r>
      <w:r w:rsidR="00F015EB">
        <w:rPr>
          <w:rFonts w:ascii="Arial" w:hAnsi="Arial" w:cs="Arial"/>
          <w:sz w:val="24"/>
          <w:szCs w:val="24"/>
        </w:rPr>
        <w:t>following:</w:t>
      </w:r>
    </w:p>
    <w:p w:rsidR="00D85EEC" w:rsidRDefault="00D85EEC" w:rsidP="00D85EEC">
      <w:pPr>
        <w:pStyle w:val="NoSpacing"/>
        <w:spacing w:line="276" w:lineRule="auto"/>
        <w:ind w:left="360"/>
        <w:jc w:val="both"/>
        <w:rPr>
          <w:rFonts w:ascii="Arial" w:hAnsi="Arial" w:cs="Arial"/>
          <w:sz w:val="24"/>
          <w:szCs w:val="24"/>
        </w:rPr>
      </w:pPr>
    </w:p>
    <w:p w:rsidR="00D85EEC" w:rsidRDefault="00D85EEC" w:rsidP="00346749">
      <w:pPr>
        <w:pStyle w:val="NoSpacing"/>
        <w:numPr>
          <w:ilvl w:val="0"/>
          <w:numId w:val="8"/>
        </w:numPr>
        <w:spacing w:line="276" w:lineRule="auto"/>
        <w:ind w:hanging="3240"/>
        <w:jc w:val="both"/>
        <w:rPr>
          <w:rFonts w:ascii="Arial" w:hAnsi="Arial" w:cs="Arial"/>
          <w:sz w:val="24"/>
          <w:szCs w:val="24"/>
        </w:rPr>
      </w:pPr>
      <w:r>
        <w:rPr>
          <w:rFonts w:ascii="Arial" w:hAnsi="Arial" w:cs="Arial"/>
          <w:sz w:val="24"/>
          <w:szCs w:val="24"/>
        </w:rPr>
        <w:t xml:space="preserve">Department </w:t>
      </w:r>
      <w:r w:rsidR="00AA7AA3" w:rsidRPr="00AA7AA3">
        <w:rPr>
          <w:rFonts w:ascii="Arial" w:hAnsi="Arial" w:cs="Arial"/>
          <w:sz w:val="24"/>
          <w:szCs w:val="24"/>
        </w:rPr>
        <w:t xml:space="preserve">of </w:t>
      </w:r>
      <w:r>
        <w:rPr>
          <w:rFonts w:ascii="Arial" w:hAnsi="Arial" w:cs="Arial"/>
          <w:sz w:val="24"/>
          <w:szCs w:val="24"/>
        </w:rPr>
        <w:t>Basic Education;</w:t>
      </w:r>
      <w:r w:rsidR="00AA7AA3">
        <w:rPr>
          <w:rFonts w:ascii="Arial" w:hAnsi="Arial" w:cs="Arial"/>
          <w:sz w:val="24"/>
          <w:szCs w:val="24"/>
        </w:rPr>
        <w:t xml:space="preserve"> </w:t>
      </w:r>
    </w:p>
    <w:p w:rsidR="00D85EEC" w:rsidRDefault="00D85EEC" w:rsidP="00346749">
      <w:pPr>
        <w:pStyle w:val="NoSpacing"/>
        <w:numPr>
          <w:ilvl w:val="0"/>
          <w:numId w:val="8"/>
        </w:numPr>
        <w:spacing w:line="276" w:lineRule="auto"/>
        <w:ind w:hanging="3240"/>
        <w:jc w:val="both"/>
        <w:rPr>
          <w:rFonts w:ascii="Arial" w:hAnsi="Arial" w:cs="Arial"/>
          <w:sz w:val="24"/>
          <w:szCs w:val="24"/>
        </w:rPr>
      </w:pPr>
      <w:r>
        <w:rPr>
          <w:rFonts w:ascii="Arial" w:hAnsi="Arial" w:cs="Arial"/>
          <w:sz w:val="24"/>
          <w:szCs w:val="24"/>
        </w:rPr>
        <w:t xml:space="preserve">Department of </w:t>
      </w:r>
      <w:r w:rsidR="00AA7AA3">
        <w:rPr>
          <w:rFonts w:ascii="Arial" w:hAnsi="Arial" w:cs="Arial"/>
          <w:sz w:val="24"/>
          <w:szCs w:val="24"/>
        </w:rPr>
        <w:t>Health</w:t>
      </w:r>
      <w:r>
        <w:rPr>
          <w:rFonts w:ascii="Arial" w:hAnsi="Arial" w:cs="Arial"/>
          <w:sz w:val="24"/>
          <w:szCs w:val="24"/>
        </w:rPr>
        <w:t>:</w:t>
      </w:r>
    </w:p>
    <w:p w:rsidR="00D85EEC" w:rsidRDefault="00D85EEC" w:rsidP="00346749">
      <w:pPr>
        <w:pStyle w:val="NoSpacing"/>
        <w:numPr>
          <w:ilvl w:val="0"/>
          <w:numId w:val="8"/>
        </w:numPr>
        <w:spacing w:line="276" w:lineRule="auto"/>
        <w:ind w:hanging="3240"/>
        <w:jc w:val="both"/>
        <w:rPr>
          <w:rFonts w:ascii="Arial" w:hAnsi="Arial" w:cs="Arial"/>
          <w:sz w:val="24"/>
          <w:szCs w:val="24"/>
        </w:rPr>
      </w:pPr>
      <w:r>
        <w:rPr>
          <w:rFonts w:ascii="Arial" w:hAnsi="Arial" w:cs="Arial"/>
          <w:sz w:val="24"/>
          <w:szCs w:val="24"/>
        </w:rPr>
        <w:t xml:space="preserve">Department of </w:t>
      </w:r>
      <w:r w:rsidR="00AA7AA3">
        <w:rPr>
          <w:rFonts w:ascii="Arial" w:hAnsi="Arial" w:cs="Arial"/>
          <w:sz w:val="24"/>
          <w:szCs w:val="24"/>
        </w:rPr>
        <w:t>Home Affairs</w:t>
      </w:r>
      <w:r>
        <w:rPr>
          <w:rFonts w:ascii="Arial" w:hAnsi="Arial" w:cs="Arial"/>
          <w:sz w:val="24"/>
          <w:szCs w:val="24"/>
        </w:rPr>
        <w:t>;</w:t>
      </w:r>
    </w:p>
    <w:p w:rsidR="00D85EEC" w:rsidRDefault="00AA7AA3" w:rsidP="00346749">
      <w:pPr>
        <w:pStyle w:val="NoSpacing"/>
        <w:numPr>
          <w:ilvl w:val="0"/>
          <w:numId w:val="8"/>
        </w:numPr>
        <w:spacing w:line="276" w:lineRule="auto"/>
        <w:ind w:hanging="3240"/>
        <w:jc w:val="both"/>
        <w:rPr>
          <w:rFonts w:ascii="Arial" w:hAnsi="Arial" w:cs="Arial"/>
          <w:sz w:val="24"/>
          <w:szCs w:val="24"/>
        </w:rPr>
      </w:pPr>
      <w:r>
        <w:rPr>
          <w:rFonts w:ascii="Arial" w:hAnsi="Arial" w:cs="Arial"/>
          <w:sz w:val="24"/>
          <w:szCs w:val="24"/>
        </w:rPr>
        <w:t>South African Police Service</w:t>
      </w:r>
      <w:r w:rsidR="00D85EEC">
        <w:rPr>
          <w:rFonts w:ascii="Arial" w:hAnsi="Arial" w:cs="Arial"/>
          <w:sz w:val="24"/>
          <w:szCs w:val="24"/>
        </w:rPr>
        <w:t>;</w:t>
      </w:r>
      <w:r>
        <w:rPr>
          <w:rFonts w:ascii="Arial" w:hAnsi="Arial" w:cs="Arial"/>
          <w:sz w:val="24"/>
          <w:szCs w:val="24"/>
        </w:rPr>
        <w:t xml:space="preserve"> and</w:t>
      </w:r>
    </w:p>
    <w:p w:rsidR="001B4953" w:rsidRDefault="00AA7AA3" w:rsidP="00346749">
      <w:pPr>
        <w:pStyle w:val="NoSpacing"/>
        <w:numPr>
          <w:ilvl w:val="0"/>
          <w:numId w:val="8"/>
        </w:numPr>
        <w:spacing w:line="276" w:lineRule="auto"/>
        <w:ind w:hanging="3240"/>
        <w:jc w:val="both"/>
        <w:rPr>
          <w:rFonts w:ascii="Arial" w:hAnsi="Arial" w:cs="Arial"/>
          <w:sz w:val="24"/>
          <w:szCs w:val="24"/>
        </w:rPr>
      </w:pPr>
      <w:r>
        <w:rPr>
          <w:rFonts w:ascii="Arial" w:hAnsi="Arial" w:cs="Arial"/>
          <w:sz w:val="24"/>
          <w:szCs w:val="24"/>
        </w:rPr>
        <w:t xml:space="preserve">South African Social Security </w:t>
      </w:r>
      <w:r w:rsidR="00D85EEC">
        <w:rPr>
          <w:rFonts w:ascii="Arial" w:hAnsi="Arial" w:cs="Arial"/>
          <w:sz w:val="24"/>
          <w:szCs w:val="24"/>
        </w:rPr>
        <w:t>Agency</w:t>
      </w:r>
      <w:r>
        <w:rPr>
          <w:rFonts w:ascii="Arial" w:hAnsi="Arial" w:cs="Arial"/>
          <w:sz w:val="24"/>
          <w:szCs w:val="24"/>
        </w:rPr>
        <w:t xml:space="preserve">. </w:t>
      </w:r>
    </w:p>
    <w:p w:rsidR="001B4953" w:rsidRDefault="00F015EB" w:rsidP="00346749">
      <w:pPr>
        <w:pStyle w:val="NoSpacing"/>
        <w:tabs>
          <w:tab w:val="left" w:pos="2160"/>
        </w:tabs>
        <w:spacing w:line="276" w:lineRule="auto"/>
        <w:ind w:left="3600" w:hanging="2160"/>
        <w:jc w:val="both"/>
        <w:rPr>
          <w:rFonts w:ascii="Arial" w:hAnsi="Arial" w:cs="Arial"/>
          <w:sz w:val="24"/>
          <w:szCs w:val="24"/>
        </w:rPr>
      </w:pPr>
      <w:r>
        <w:rPr>
          <w:rFonts w:ascii="Arial" w:hAnsi="Arial" w:cs="Arial"/>
          <w:sz w:val="24"/>
          <w:szCs w:val="24"/>
        </w:rPr>
        <w:lastRenderedPageBreak/>
        <w:t xml:space="preserve">(ii)  </w:t>
      </w:r>
      <w:r>
        <w:rPr>
          <w:rFonts w:ascii="Arial" w:hAnsi="Arial" w:cs="Arial"/>
          <w:sz w:val="24"/>
          <w:szCs w:val="24"/>
        </w:rPr>
        <w:tab/>
      </w:r>
      <w:r w:rsidR="00346749">
        <w:rPr>
          <w:rFonts w:ascii="Arial" w:hAnsi="Arial" w:cs="Arial"/>
          <w:sz w:val="24"/>
          <w:szCs w:val="24"/>
        </w:rPr>
        <w:t xml:space="preserve">(aa)(bb) </w:t>
      </w:r>
      <w:r w:rsidR="00346749">
        <w:rPr>
          <w:rFonts w:ascii="Arial" w:hAnsi="Arial" w:cs="Arial"/>
          <w:sz w:val="24"/>
          <w:szCs w:val="24"/>
        </w:rPr>
        <w:tab/>
      </w:r>
      <w:r w:rsidR="00AA7AA3">
        <w:rPr>
          <w:rFonts w:ascii="Arial" w:hAnsi="Arial" w:cs="Arial"/>
          <w:sz w:val="24"/>
          <w:szCs w:val="24"/>
        </w:rPr>
        <w:t xml:space="preserve">The </w:t>
      </w:r>
      <w:r w:rsidR="001B4953">
        <w:rPr>
          <w:rFonts w:ascii="Arial" w:hAnsi="Arial" w:cs="Arial"/>
          <w:sz w:val="24"/>
          <w:szCs w:val="24"/>
        </w:rPr>
        <w:t>Citizen R</w:t>
      </w:r>
      <w:r w:rsidR="00AA7AA3">
        <w:rPr>
          <w:rFonts w:ascii="Arial" w:hAnsi="Arial" w:cs="Arial"/>
          <w:sz w:val="24"/>
          <w:szCs w:val="24"/>
        </w:rPr>
        <w:t xml:space="preserve">eport </w:t>
      </w:r>
      <w:r w:rsidR="001B4953">
        <w:rPr>
          <w:rFonts w:ascii="Arial" w:hAnsi="Arial" w:cs="Arial"/>
          <w:sz w:val="24"/>
          <w:szCs w:val="24"/>
        </w:rPr>
        <w:t>C</w:t>
      </w:r>
      <w:r w:rsidR="00D20CAA">
        <w:rPr>
          <w:rFonts w:ascii="Arial" w:hAnsi="Arial" w:cs="Arial"/>
          <w:sz w:val="24"/>
          <w:szCs w:val="24"/>
        </w:rPr>
        <w:t>ards were</w:t>
      </w:r>
      <w:r w:rsidR="00AA7AA3">
        <w:rPr>
          <w:rFonts w:ascii="Arial" w:hAnsi="Arial" w:cs="Arial"/>
          <w:sz w:val="24"/>
          <w:szCs w:val="24"/>
        </w:rPr>
        <w:t xml:space="preserve"> compiled for the </w:t>
      </w:r>
      <w:r w:rsidR="00AC1378">
        <w:rPr>
          <w:rFonts w:ascii="Arial" w:hAnsi="Arial" w:cs="Arial"/>
          <w:sz w:val="24"/>
          <w:szCs w:val="24"/>
        </w:rPr>
        <w:t>following</w:t>
      </w:r>
      <w:r w:rsidR="00AA7AA3">
        <w:rPr>
          <w:rFonts w:ascii="Arial" w:hAnsi="Arial" w:cs="Arial"/>
          <w:sz w:val="24"/>
          <w:szCs w:val="24"/>
        </w:rPr>
        <w:t xml:space="preserve">: </w:t>
      </w:r>
    </w:p>
    <w:p w:rsidR="001B4953" w:rsidRDefault="001B4953" w:rsidP="00D85EEC">
      <w:pPr>
        <w:pStyle w:val="NoSpacing"/>
        <w:spacing w:line="276" w:lineRule="auto"/>
        <w:ind w:left="360"/>
        <w:jc w:val="both"/>
        <w:rPr>
          <w:rFonts w:ascii="Arial" w:hAnsi="Arial" w:cs="Arial"/>
          <w:sz w:val="24"/>
          <w:szCs w:val="24"/>
        </w:rPr>
      </w:pPr>
    </w:p>
    <w:p w:rsidR="001B4953" w:rsidRDefault="00AA7AA3" w:rsidP="008B2338">
      <w:pPr>
        <w:pStyle w:val="NoSpacing"/>
        <w:numPr>
          <w:ilvl w:val="0"/>
          <w:numId w:val="9"/>
        </w:numPr>
        <w:spacing w:line="276" w:lineRule="auto"/>
        <w:jc w:val="both"/>
        <w:rPr>
          <w:rFonts w:ascii="Arial" w:hAnsi="Arial" w:cs="Arial"/>
          <w:sz w:val="24"/>
          <w:szCs w:val="24"/>
        </w:rPr>
      </w:pPr>
      <w:r>
        <w:rPr>
          <w:rFonts w:ascii="Arial" w:hAnsi="Arial" w:cs="Arial"/>
          <w:sz w:val="24"/>
          <w:szCs w:val="24"/>
        </w:rPr>
        <w:t>Ga-Segonyana</w:t>
      </w:r>
      <w:r w:rsidR="001B4953">
        <w:rPr>
          <w:rFonts w:ascii="Arial" w:hAnsi="Arial" w:cs="Arial"/>
          <w:sz w:val="24"/>
          <w:szCs w:val="24"/>
        </w:rPr>
        <w:t xml:space="preserve"> Local Municipality;</w:t>
      </w:r>
    </w:p>
    <w:p w:rsidR="001B4953" w:rsidRDefault="00AA7AA3" w:rsidP="008B2338">
      <w:pPr>
        <w:pStyle w:val="NoSpacing"/>
        <w:numPr>
          <w:ilvl w:val="0"/>
          <w:numId w:val="9"/>
        </w:numPr>
        <w:spacing w:line="276" w:lineRule="auto"/>
        <w:jc w:val="both"/>
        <w:rPr>
          <w:rFonts w:ascii="Arial" w:hAnsi="Arial" w:cs="Arial"/>
          <w:sz w:val="24"/>
          <w:szCs w:val="24"/>
        </w:rPr>
      </w:pPr>
      <w:r>
        <w:rPr>
          <w:rFonts w:ascii="Arial" w:hAnsi="Arial" w:cs="Arial"/>
          <w:sz w:val="24"/>
          <w:szCs w:val="24"/>
        </w:rPr>
        <w:t>Mookgopong</w:t>
      </w:r>
      <w:r w:rsidR="001B4953">
        <w:rPr>
          <w:rFonts w:ascii="Arial" w:hAnsi="Arial" w:cs="Arial"/>
          <w:sz w:val="24"/>
          <w:szCs w:val="24"/>
        </w:rPr>
        <w:t xml:space="preserve"> Local Municipality;</w:t>
      </w:r>
    </w:p>
    <w:p w:rsidR="001B4953" w:rsidRDefault="00AA7AA3" w:rsidP="008B2338">
      <w:pPr>
        <w:pStyle w:val="NoSpacing"/>
        <w:numPr>
          <w:ilvl w:val="0"/>
          <w:numId w:val="9"/>
        </w:numPr>
        <w:spacing w:line="276" w:lineRule="auto"/>
        <w:jc w:val="both"/>
        <w:rPr>
          <w:rFonts w:ascii="Arial" w:hAnsi="Arial" w:cs="Arial"/>
          <w:sz w:val="24"/>
          <w:szCs w:val="24"/>
        </w:rPr>
      </w:pPr>
      <w:r>
        <w:rPr>
          <w:rFonts w:ascii="Arial" w:hAnsi="Arial" w:cs="Arial"/>
          <w:sz w:val="24"/>
          <w:szCs w:val="24"/>
        </w:rPr>
        <w:t>Okhahlamba</w:t>
      </w:r>
      <w:r w:rsidR="001B4953">
        <w:rPr>
          <w:rFonts w:ascii="Arial" w:hAnsi="Arial" w:cs="Arial"/>
          <w:sz w:val="24"/>
          <w:szCs w:val="24"/>
        </w:rPr>
        <w:t xml:space="preserve"> Local Municipality;</w:t>
      </w:r>
    </w:p>
    <w:p w:rsidR="001B4953" w:rsidRDefault="00AA7AA3" w:rsidP="008B2338">
      <w:pPr>
        <w:pStyle w:val="NoSpacing"/>
        <w:numPr>
          <w:ilvl w:val="0"/>
          <w:numId w:val="9"/>
        </w:numPr>
        <w:spacing w:line="276" w:lineRule="auto"/>
        <w:jc w:val="both"/>
        <w:rPr>
          <w:rFonts w:ascii="Arial" w:hAnsi="Arial" w:cs="Arial"/>
          <w:sz w:val="24"/>
          <w:szCs w:val="24"/>
        </w:rPr>
      </w:pPr>
      <w:r>
        <w:rPr>
          <w:rFonts w:ascii="Arial" w:hAnsi="Arial" w:cs="Arial"/>
          <w:sz w:val="24"/>
          <w:szCs w:val="24"/>
        </w:rPr>
        <w:t>Matatiele</w:t>
      </w:r>
      <w:r w:rsidR="001B4953">
        <w:rPr>
          <w:rFonts w:ascii="Arial" w:hAnsi="Arial" w:cs="Arial"/>
          <w:sz w:val="24"/>
          <w:szCs w:val="24"/>
        </w:rPr>
        <w:t xml:space="preserve"> Local Municipality;</w:t>
      </w:r>
    </w:p>
    <w:p w:rsidR="001B4953" w:rsidRDefault="00AA7AA3" w:rsidP="008B2338">
      <w:pPr>
        <w:pStyle w:val="NoSpacing"/>
        <w:numPr>
          <w:ilvl w:val="0"/>
          <w:numId w:val="9"/>
        </w:numPr>
        <w:spacing w:line="276" w:lineRule="auto"/>
        <w:jc w:val="both"/>
        <w:rPr>
          <w:rFonts w:ascii="Arial" w:hAnsi="Arial" w:cs="Arial"/>
          <w:sz w:val="24"/>
          <w:szCs w:val="24"/>
        </w:rPr>
      </w:pPr>
      <w:r>
        <w:rPr>
          <w:rFonts w:ascii="Arial" w:hAnsi="Arial" w:cs="Arial"/>
          <w:sz w:val="24"/>
          <w:szCs w:val="24"/>
        </w:rPr>
        <w:t>Emalahleni</w:t>
      </w:r>
      <w:r w:rsidR="001B4953">
        <w:rPr>
          <w:rFonts w:ascii="Arial" w:hAnsi="Arial" w:cs="Arial"/>
          <w:sz w:val="24"/>
          <w:szCs w:val="24"/>
        </w:rPr>
        <w:t xml:space="preserve"> Local Municipality;</w:t>
      </w:r>
    </w:p>
    <w:p w:rsidR="001B4953" w:rsidRDefault="00AA7AA3" w:rsidP="008B2338">
      <w:pPr>
        <w:pStyle w:val="NoSpacing"/>
        <w:numPr>
          <w:ilvl w:val="0"/>
          <w:numId w:val="9"/>
        </w:numPr>
        <w:spacing w:line="276" w:lineRule="auto"/>
        <w:jc w:val="both"/>
        <w:rPr>
          <w:rFonts w:ascii="Arial" w:hAnsi="Arial" w:cs="Arial"/>
          <w:sz w:val="24"/>
          <w:szCs w:val="24"/>
        </w:rPr>
      </w:pPr>
      <w:r>
        <w:rPr>
          <w:rFonts w:ascii="Arial" w:hAnsi="Arial" w:cs="Arial"/>
          <w:sz w:val="24"/>
          <w:szCs w:val="24"/>
        </w:rPr>
        <w:t>Moretele</w:t>
      </w:r>
      <w:r w:rsidR="001B4953">
        <w:rPr>
          <w:rFonts w:ascii="Arial" w:hAnsi="Arial" w:cs="Arial"/>
          <w:sz w:val="24"/>
          <w:szCs w:val="24"/>
        </w:rPr>
        <w:t xml:space="preserve"> Local Municipality;</w:t>
      </w:r>
    </w:p>
    <w:p w:rsidR="001B4953" w:rsidRDefault="00D85EEC" w:rsidP="008B2338">
      <w:pPr>
        <w:pStyle w:val="NoSpacing"/>
        <w:numPr>
          <w:ilvl w:val="0"/>
          <w:numId w:val="9"/>
        </w:numPr>
        <w:spacing w:line="276" w:lineRule="auto"/>
        <w:jc w:val="both"/>
        <w:rPr>
          <w:rFonts w:ascii="Arial" w:hAnsi="Arial" w:cs="Arial"/>
          <w:sz w:val="24"/>
          <w:szCs w:val="24"/>
        </w:rPr>
      </w:pPr>
      <w:r>
        <w:rPr>
          <w:rFonts w:ascii="Arial" w:hAnsi="Arial" w:cs="Arial"/>
          <w:sz w:val="24"/>
          <w:szCs w:val="24"/>
        </w:rPr>
        <w:t>City of Mangaung (Botshabelo)</w:t>
      </w:r>
      <w:r w:rsidR="001B4953">
        <w:rPr>
          <w:rFonts w:ascii="Arial" w:hAnsi="Arial" w:cs="Arial"/>
          <w:sz w:val="24"/>
          <w:szCs w:val="24"/>
        </w:rPr>
        <w:t>;</w:t>
      </w:r>
    </w:p>
    <w:p w:rsidR="001B4953" w:rsidRDefault="00D85EEC" w:rsidP="008B2338">
      <w:pPr>
        <w:pStyle w:val="NoSpacing"/>
        <w:numPr>
          <w:ilvl w:val="0"/>
          <w:numId w:val="9"/>
        </w:numPr>
        <w:spacing w:line="276" w:lineRule="auto"/>
        <w:jc w:val="both"/>
        <w:rPr>
          <w:rFonts w:ascii="Arial" w:hAnsi="Arial" w:cs="Arial"/>
          <w:sz w:val="24"/>
          <w:szCs w:val="24"/>
        </w:rPr>
      </w:pPr>
      <w:r>
        <w:rPr>
          <w:rFonts w:ascii="Arial" w:hAnsi="Arial" w:cs="Arial"/>
          <w:sz w:val="24"/>
          <w:szCs w:val="24"/>
        </w:rPr>
        <w:t>City of Johannesburg (Diepsloot and Alexandra)</w:t>
      </w:r>
      <w:r w:rsidR="001B4953">
        <w:rPr>
          <w:rFonts w:ascii="Arial" w:hAnsi="Arial" w:cs="Arial"/>
          <w:sz w:val="24"/>
          <w:szCs w:val="24"/>
        </w:rPr>
        <w:t>; and</w:t>
      </w:r>
    </w:p>
    <w:p w:rsidR="00EA4FD5" w:rsidRDefault="00D85EEC" w:rsidP="008B2338">
      <w:pPr>
        <w:pStyle w:val="NoSpacing"/>
        <w:numPr>
          <w:ilvl w:val="0"/>
          <w:numId w:val="9"/>
        </w:numPr>
        <w:spacing w:line="276" w:lineRule="auto"/>
        <w:jc w:val="both"/>
        <w:rPr>
          <w:rFonts w:ascii="Arial" w:hAnsi="Arial" w:cs="Arial"/>
          <w:sz w:val="24"/>
          <w:szCs w:val="24"/>
        </w:rPr>
      </w:pPr>
      <w:r>
        <w:rPr>
          <w:rFonts w:ascii="Arial" w:hAnsi="Arial" w:cs="Arial"/>
          <w:sz w:val="24"/>
          <w:szCs w:val="24"/>
        </w:rPr>
        <w:t xml:space="preserve">City of Cape Town (Gugulethu and Khayelitsha). </w:t>
      </w:r>
    </w:p>
    <w:p w:rsidR="008B2338" w:rsidRDefault="008B2338" w:rsidP="00D85EEC">
      <w:pPr>
        <w:pStyle w:val="NoSpacing"/>
        <w:spacing w:line="276" w:lineRule="auto"/>
        <w:ind w:left="360"/>
        <w:jc w:val="both"/>
        <w:rPr>
          <w:rFonts w:ascii="Arial" w:hAnsi="Arial" w:cs="Arial"/>
          <w:sz w:val="24"/>
          <w:szCs w:val="24"/>
        </w:rPr>
      </w:pPr>
    </w:p>
    <w:p w:rsidR="00DD1A8D" w:rsidRDefault="00346749" w:rsidP="00346749">
      <w:pPr>
        <w:pStyle w:val="NoSpacing"/>
        <w:spacing w:line="276" w:lineRule="auto"/>
        <w:ind w:left="3600" w:hanging="990"/>
        <w:jc w:val="both"/>
        <w:rPr>
          <w:rFonts w:ascii="Arial" w:hAnsi="Arial" w:cs="Arial"/>
          <w:sz w:val="24"/>
          <w:szCs w:val="24"/>
        </w:rPr>
      </w:pPr>
      <w:r>
        <w:rPr>
          <w:rFonts w:ascii="Arial" w:hAnsi="Arial" w:cs="Arial"/>
          <w:sz w:val="24"/>
          <w:szCs w:val="24"/>
        </w:rPr>
        <w:t>(cc</w:t>
      </w:r>
      <w:r w:rsidR="00DD1A8D">
        <w:rPr>
          <w:rFonts w:ascii="Arial" w:hAnsi="Arial" w:cs="Arial"/>
          <w:sz w:val="24"/>
          <w:szCs w:val="24"/>
        </w:rPr>
        <w:t xml:space="preserve">) </w:t>
      </w:r>
      <w:r w:rsidR="00F015EB">
        <w:rPr>
          <w:rFonts w:ascii="Arial" w:hAnsi="Arial" w:cs="Arial"/>
          <w:sz w:val="24"/>
          <w:szCs w:val="24"/>
        </w:rPr>
        <w:t xml:space="preserve"> </w:t>
      </w:r>
      <w:r w:rsidR="00F015EB">
        <w:rPr>
          <w:rFonts w:ascii="Arial" w:hAnsi="Arial" w:cs="Arial"/>
          <w:sz w:val="24"/>
          <w:szCs w:val="24"/>
        </w:rPr>
        <w:tab/>
      </w:r>
      <w:r>
        <w:rPr>
          <w:rFonts w:ascii="Arial" w:hAnsi="Arial" w:cs="Arial"/>
          <w:sz w:val="24"/>
          <w:szCs w:val="24"/>
        </w:rPr>
        <w:t xml:space="preserve">None. </w:t>
      </w:r>
      <w:r w:rsidR="00DD1A8D">
        <w:rPr>
          <w:rFonts w:ascii="Arial" w:hAnsi="Arial" w:cs="Arial"/>
          <w:sz w:val="24"/>
          <w:szCs w:val="24"/>
        </w:rPr>
        <w:t>The Citizen Report Card survey was conducted in the 2013-14 financial year</w:t>
      </w:r>
      <w:r w:rsidR="00EE3D01">
        <w:rPr>
          <w:rFonts w:ascii="Arial" w:hAnsi="Arial" w:cs="Arial"/>
          <w:sz w:val="24"/>
          <w:szCs w:val="24"/>
        </w:rPr>
        <w:t xml:space="preserve"> and </w:t>
      </w:r>
      <w:r w:rsidR="00DD1A8D">
        <w:rPr>
          <w:rFonts w:ascii="Arial" w:hAnsi="Arial" w:cs="Arial"/>
          <w:sz w:val="24"/>
          <w:szCs w:val="24"/>
        </w:rPr>
        <w:t>the sub</w:t>
      </w:r>
      <w:r w:rsidR="00D20CAA">
        <w:rPr>
          <w:rFonts w:ascii="Arial" w:hAnsi="Arial" w:cs="Arial"/>
          <w:sz w:val="24"/>
          <w:szCs w:val="24"/>
        </w:rPr>
        <w:t>sequent reports</w:t>
      </w:r>
      <w:r w:rsidR="00223CE7">
        <w:rPr>
          <w:rFonts w:ascii="Arial" w:hAnsi="Arial" w:cs="Arial"/>
          <w:sz w:val="24"/>
          <w:szCs w:val="24"/>
        </w:rPr>
        <w:t xml:space="preserve"> </w:t>
      </w:r>
      <w:r w:rsidR="00EE3D01">
        <w:rPr>
          <w:rFonts w:ascii="Arial" w:hAnsi="Arial" w:cs="Arial"/>
          <w:sz w:val="24"/>
          <w:szCs w:val="24"/>
        </w:rPr>
        <w:t>were finalised in the 2014-15 financial year.</w:t>
      </w:r>
    </w:p>
    <w:p w:rsidR="00DD1A8D" w:rsidRDefault="00DD1A8D" w:rsidP="00D85EEC">
      <w:pPr>
        <w:pStyle w:val="NoSpacing"/>
        <w:spacing w:line="276" w:lineRule="auto"/>
        <w:ind w:left="360"/>
        <w:jc w:val="both"/>
        <w:rPr>
          <w:rFonts w:ascii="Arial" w:hAnsi="Arial" w:cs="Arial"/>
          <w:sz w:val="24"/>
          <w:szCs w:val="24"/>
        </w:rPr>
      </w:pPr>
    </w:p>
    <w:p w:rsidR="00C700D7" w:rsidRDefault="008B2338" w:rsidP="00C700D7">
      <w:pPr>
        <w:pStyle w:val="NoSpacing"/>
        <w:spacing w:line="276" w:lineRule="auto"/>
        <w:ind w:left="1440" w:hanging="720"/>
        <w:jc w:val="both"/>
        <w:rPr>
          <w:rFonts w:ascii="Arial" w:hAnsi="Arial" w:cs="Arial"/>
          <w:sz w:val="24"/>
          <w:szCs w:val="24"/>
        </w:rPr>
      </w:pPr>
      <w:r>
        <w:rPr>
          <w:rFonts w:ascii="Arial" w:hAnsi="Arial" w:cs="Arial"/>
          <w:sz w:val="24"/>
          <w:szCs w:val="24"/>
        </w:rPr>
        <w:t xml:space="preserve">(b) </w:t>
      </w:r>
      <w:r w:rsidR="00346749">
        <w:rPr>
          <w:rFonts w:ascii="Arial" w:hAnsi="Arial" w:cs="Arial"/>
          <w:sz w:val="24"/>
          <w:szCs w:val="24"/>
        </w:rPr>
        <w:tab/>
      </w:r>
      <w:r>
        <w:rPr>
          <w:rFonts w:ascii="Arial" w:hAnsi="Arial" w:cs="Arial"/>
          <w:sz w:val="24"/>
          <w:szCs w:val="24"/>
        </w:rPr>
        <w:t>T</w:t>
      </w:r>
      <w:r w:rsidR="00346749">
        <w:rPr>
          <w:rFonts w:ascii="Arial" w:hAnsi="Arial" w:cs="Arial"/>
          <w:sz w:val="24"/>
          <w:szCs w:val="24"/>
        </w:rPr>
        <w:t xml:space="preserve">he selection </w:t>
      </w:r>
      <w:r>
        <w:rPr>
          <w:rFonts w:ascii="Arial" w:hAnsi="Arial" w:cs="Arial"/>
          <w:sz w:val="24"/>
          <w:szCs w:val="24"/>
        </w:rPr>
        <w:t xml:space="preserve">was based on the Medium Term </w:t>
      </w:r>
      <w:r w:rsidR="00346749">
        <w:rPr>
          <w:rFonts w:ascii="Arial" w:hAnsi="Arial" w:cs="Arial"/>
          <w:sz w:val="24"/>
          <w:szCs w:val="24"/>
        </w:rPr>
        <w:t xml:space="preserve">Strategic </w:t>
      </w:r>
      <w:r>
        <w:rPr>
          <w:rFonts w:ascii="Arial" w:hAnsi="Arial" w:cs="Arial"/>
          <w:sz w:val="24"/>
          <w:szCs w:val="24"/>
        </w:rPr>
        <w:t>Framework (MTSF) priorities</w:t>
      </w:r>
      <w:r w:rsidR="00346749">
        <w:rPr>
          <w:rFonts w:ascii="Arial" w:hAnsi="Arial" w:cs="Arial"/>
          <w:sz w:val="24"/>
          <w:szCs w:val="24"/>
        </w:rPr>
        <w:t>,</w:t>
      </w:r>
      <w:r w:rsidR="005C7AFF">
        <w:rPr>
          <w:rFonts w:ascii="Arial" w:hAnsi="Arial" w:cs="Arial"/>
          <w:sz w:val="24"/>
          <w:szCs w:val="24"/>
        </w:rPr>
        <w:t xml:space="preserve"> which set out </w:t>
      </w:r>
      <w:r>
        <w:rPr>
          <w:rFonts w:ascii="Arial" w:hAnsi="Arial" w:cs="Arial"/>
          <w:sz w:val="24"/>
          <w:szCs w:val="24"/>
        </w:rPr>
        <w:t>key focus</w:t>
      </w:r>
      <w:r w:rsidR="005C7AFF">
        <w:rPr>
          <w:rFonts w:ascii="Arial" w:hAnsi="Arial" w:cs="Arial"/>
          <w:sz w:val="24"/>
          <w:szCs w:val="24"/>
        </w:rPr>
        <w:t xml:space="preserve"> areas of the departments </w:t>
      </w:r>
      <w:r>
        <w:rPr>
          <w:rFonts w:ascii="Arial" w:hAnsi="Arial" w:cs="Arial"/>
          <w:sz w:val="24"/>
          <w:szCs w:val="24"/>
        </w:rPr>
        <w:t xml:space="preserve">over the MTSF period. </w:t>
      </w:r>
      <w:r w:rsidR="0051373D">
        <w:rPr>
          <w:rFonts w:ascii="Arial" w:hAnsi="Arial" w:cs="Arial"/>
          <w:sz w:val="24"/>
          <w:szCs w:val="24"/>
        </w:rPr>
        <w:t xml:space="preserve">One municipality per province was chosen to benefit from the survey </w:t>
      </w:r>
      <w:r w:rsidR="00223CE7">
        <w:rPr>
          <w:rFonts w:ascii="Arial" w:hAnsi="Arial" w:cs="Arial"/>
          <w:sz w:val="24"/>
          <w:szCs w:val="24"/>
        </w:rPr>
        <w:t xml:space="preserve">and the </w:t>
      </w:r>
      <w:r w:rsidR="005C7AFF">
        <w:rPr>
          <w:rFonts w:ascii="Arial" w:hAnsi="Arial" w:cs="Arial"/>
          <w:sz w:val="24"/>
          <w:szCs w:val="24"/>
        </w:rPr>
        <w:t>selection of the</w:t>
      </w:r>
      <w:r w:rsidR="0051373D">
        <w:rPr>
          <w:rFonts w:ascii="Arial" w:hAnsi="Arial" w:cs="Arial"/>
          <w:sz w:val="24"/>
          <w:szCs w:val="24"/>
        </w:rPr>
        <w:t xml:space="preserve"> </w:t>
      </w:r>
      <w:r w:rsidR="004032CD">
        <w:rPr>
          <w:rFonts w:ascii="Arial" w:hAnsi="Arial" w:cs="Arial"/>
          <w:sz w:val="24"/>
          <w:szCs w:val="24"/>
        </w:rPr>
        <w:t>municipalit</w:t>
      </w:r>
      <w:r w:rsidR="0051373D">
        <w:rPr>
          <w:rFonts w:ascii="Arial" w:hAnsi="Arial" w:cs="Arial"/>
          <w:sz w:val="24"/>
          <w:szCs w:val="24"/>
        </w:rPr>
        <w:t>y in every province</w:t>
      </w:r>
      <w:r w:rsidR="004032CD">
        <w:rPr>
          <w:rFonts w:ascii="Arial" w:hAnsi="Arial" w:cs="Arial"/>
          <w:sz w:val="24"/>
          <w:szCs w:val="24"/>
        </w:rPr>
        <w:t xml:space="preserve"> was</w:t>
      </w:r>
      <w:r w:rsidR="0051373D">
        <w:rPr>
          <w:rFonts w:ascii="Arial" w:hAnsi="Arial" w:cs="Arial"/>
          <w:sz w:val="24"/>
          <w:szCs w:val="24"/>
        </w:rPr>
        <w:t xml:space="preserve"> </w:t>
      </w:r>
      <w:r w:rsidR="004032CD">
        <w:rPr>
          <w:rFonts w:ascii="Arial" w:hAnsi="Arial" w:cs="Arial"/>
          <w:sz w:val="24"/>
          <w:szCs w:val="24"/>
        </w:rPr>
        <w:t>based on</w:t>
      </w:r>
      <w:r w:rsidR="0051373D">
        <w:rPr>
          <w:rFonts w:ascii="Arial" w:hAnsi="Arial" w:cs="Arial"/>
          <w:sz w:val="24"/>
          <w:szCs w:val="24"/>
        </w:rPr>
        <w:t xml:space="preserve"> the </w:t>
      </w:r>
      <w:r w:rsidR="004032CD">
        <w:rPr>
          <w:rFonts w:ascii="Arial" w:hAnsi="Arial" w:cs="Arial"/>
          <w:sz w:val="24"/>
          <w:szCs w:val="24"/>
        </w:rPr>
        <w:t>readiness of the municipalit</w:t>
      </w:r>
      <w:r w:rsidR="0051373D">
        <w:rPr>
          <w:rFonts w:ascii="Arial" w:hAnsi="Arial" w:cs="Arial"/>
          <w:sz w:val="24"/>
          <w:szCs w:val="24"/>
        </w:rPr>
        <w:t>y</w:t>
      </w:r>
      <w:r w:rsidR="004032CD">
        <w:rPr>
          <w:rFonts w:ascii="Arial" w:hAnsi="Arial" w:cs="Arial"/>
          <w:sz w:val="24"/>
          <w:szCs w:val="24"/>
        </w:rPr>
        <w:t xml:space="preserve"> to accommodate the stu</w:t>
      </w:r>
      <w:r w:rsidR="0051373D">
        <w:rPr>
          <w:rFonts w:ascii="Arial" w:hAnsi="Arial" w:cs="Arial"/>
          <w:sz w:val="24"/>
          <w:szCs w:val="24"/>
        </w:rPr>
        <w:t>dy within the set timelines</w:t>
      </w:r>
      <w:r w:rsidR="00E168C9">
        <w:rPr>
          <w:rFonts w:ascii="Arial" w:hAnsi="Arial" w:cs="Arial"/>
          <w:sz w:val="24"/>
          <w:szCs w:val="24"/>
        </w:rPr>
        <w:t>.</w:t>
      </w:r>
    </w:p>
    <w:p w:rsidR="00C700D7" w:rsidRPr="00D20CAA" w:rsidRDefault="00C700D7" w:rsidP="00D20CAA">
      <w:pPr>
        <w:pStyle w:val="NoSpacing"/>
      </w:pPr>
    </w:p>
    <w:p w:rsidR="00C700D7" w:rsidRDefault="00C700D7" w:rsidP="00C700D7">
      <w:pPr>
        <w:pStyle w:val="NoSpacing"/>
        <w:tabs>
          <w:tab w:val="left" w:pos="720"/>
          <w:tab w:val="left" w:pos="1440"/>
        </w:tabs>
        <w:spacing w:line="276" w:lineRule="auto"/>
        <w:ind w:left="2160" w:hanging="2160"/>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(a) </w:t>
      </w:r>
      <w:r>
        <w:rPr>
          <w:rFonts w:ascii="Arial" w:hAnsi="Arial" w:cs="Arial"/>
          <w:sz w:val="24"/>
          <w:szCs w:val="24"/>
        </w:rPr>
        <w:tab/>
        <w:t xml:space="preserve">(i) </w:t>
      </w:r>
      <w:r>
        <w:rPr>
          <w:rFonts w:ascii="Arial" w:hAnsi="Arial" w:cs="Arial"/>
          <w:sz w:val="24"/>
          <w:szCs w:val="24"/>
        </w:rPr>
        <w:tab/>
        <w:t>The overall score</w:t>
      </w:r>
      <w:r w:rsidR="00817D09">
        <w:rPr>
          <w:rFonts w:ascii="Arial" w:hAnsi="Arial" w:cs="Arial"/>
          <w:sz w:val="24"/>
          <w:szCs w:val="24"/>
        </w:rPr>
        <w:t>s</w:t>
      </w:r>
      <w:r>
        <w:rPr>
          <w:rFonts w:ascii="Arial" w:hAnsi="Arial" w:cs="Arial"/>
          <w:sz w:val="24"/>
          <w:szCs w:val="24"/>
        </w:rPr>
        <w:t xml:space="preserve"> for each department and</w:t>
      </w:r>
      <w:r w:rsidR="00817D09">
        <w:rPr>
          <w:rFonts w:ascii="Arial" w:hAnsi="Arial" w:cs="Arial"/>
          <w:sz w:val="24"/>
          <w:szCs w:val="24"/>
        </w:rPr>
        <w:t xml:space="preserve"> municipality are</w:t>
      </w:r>
      <w:r>
        <w:rPr>
          <w:rFonts w:ascii="Arial" w:hAnsi="Arial" w:cs="Arial"/>
          <w:sz w:val="24"/>
          <w:szCs w:val="24"/>
        </w:rPr>
        <w:t xml:space="preserve"> shown herewith below on fig</w:t>
      </w:r>
      <w:r w:rsidR="00817D09">
        <w:rPr>
          <w:rFonts w:ascii="Arial" w:hAnsi="Arial" w:cs="Arial"/>
          <w:sz w:val="24"/>
          <w:szCs w:val="24"/>
        </w:rPr>
        <w:t>ure 1 and figure</w:t>
      </w:r>
      <w:r>
        <w:rPr>
          <w:rFonts w:ascii="Arial" w:hAnsi="Arial" w:cs="Arial"/>
          <w:sz w:val="24"/>
          <w:szCs w:val="24"/>
        </w:rPr>
        <w:t xml:space="preserve"> 2 respectively</w:t>
      </w:r>
      <w:r w:rsidR="00D20CAA">
        <w:rPr>
          <w:rFonts w:ascii="Arial" w:hAnsi="Arial" w:cs="Arial"/>
          <w:sz w:val="24"/>
          <w:szCs w:val="24"/>
        </w:rPr>
        <w:t>:</w:t>
      </w:r>
    </w:p>
    <w:p w:rsidR="00C700D7" w:rsidRDefault="00C700D7" w:rsidP="00C700D7">
      <w:pPr>
        <w:pStyle w:val="NoSpacing"/>
        <w:spacing w:line="276" w:lineRule="auto"/>
        <w:jc w:val="both"/>
        <w:rPr>
          <w:rFonts w:ascii="Arial" w:hAnsi="Arial" w:cs="Arial"/>
          <w:sz w:val="24"/>
          <w:szCs w:val="24"/>
        </w:rPr>
      </w:pPr>
    </w:p>
    <w:p w:rsidR="005C7AFF" w:rsidRDefault="00C700D7" w:rsidP="00346749">
      <w:pPr>
        <w:pStyle w:val="NoSpacing"/>
        <w:spacing w:line="276" w:lineRule="auto"/>
        <w:ind w:left="1440" w:hanging="1080"/>
        <w:jc w:val="both"/>
        <w:rPr>
          <w:rFonts w:ascii="Arial" w:hAnsi="Arial" w:cs="Arial"/>
          <w:sz w:val="24"/>
          <w:szCs w:val="24"/>
        </w:rPr>
      </w:pPr>
      <w:r>
        <w:rPr>
          <w:rFonts w:ascii="Arial" w:hAnsi="Arial" w:cs="Arial"/>
          <w:sz w:val="24"/>
          <w:szCs w:val="24"/>
        </w:rPr>
        <w:t>Figure 1: Overall Ranking of Departments</w:t>
      </w:r>
    </w:p>
    <w:p w:rsidR="00D20CAA" w:rsidRDefault="00D20CAA" w:rsidP="00346749">
      <w:pPr>
        <w:pStyle w:val="NoSpacing"/>
        <w:spacing w:line="276" w:lineRule="auto"/>
        <w:ind w:left="1440" w:hanging="1080"/>
        <w:jc w:val="both"/>
        <w:rPr>
          <w:rFonts w:ascii="Arial" w:hAnsi="Arial" w:cs="Arial"/>
          <w:sz w:val="24"/>
          <w:szCs w:val="24"/>
        </w:rPr>
      </w:pPr>
    </w:p>
    <w:p w:rsidR="005C7AFF" w:rsidRDefault="00E72CF9" w:rsidP="00D20CAA">
      <w:pPr>
        <w:pStyle w:val="NoSpacing"/>
        <w:pBdr>
          <w:top w:val="single" w:sz="4" w:space="1" w:color="auto"/>
          <w:left w:val="single" w:sz="4" w:space="4" w:color="auto"/>
          <w:bottom w:val="single" w:sz="4" w:space="1" w:color="auto"/>
          <w:right w:val="single" w:sz="4" w:space="4" w:color="auto"/>
        </w:pBdr>
        <w:spacing w:line="276" w:lineRule="auto"/>
        <w:ind w:left="1440" w:hanging="1080"/>
        <w:jc w:val="both"/>
        <w:rPr>
          <w:rFonts w:ascii="Arial Narrow" w:hAnsi="Arial Narrow"/>
          <w:noProof/>
          <w:lang w:eastAsia="en-ZA"/>
        </w:rPr>
      </w:pPr>
      <w:r>
        <w:rPr>
          <w:rFonts w:ascii="Arial Narrow" w:hAnsi="Arial Narrow"/>
          <w:noProof/>
          <w:lang w:eastAsia="en-ZA"/>
        </w:rPr>
        <w:drawing>
          <wp:inline distT="0" distB="0" distL="0" distR="0">
            <wp:extent cx="5695950" cy="2466975"/>
            <wp:effectExtent l="1905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5695950" cy="2466975"/>
                    </a:xfrm>
                    <a:prstGeom prst="rect">
                      <a:avLst/>
                    </a:prstGeom>
                    <a:noFill/>
                    <a:ln w="9525">
                      <a:noFill/>
                      <a:miter lim="800000"/>
                      <a:headEnd/>
                      <a:tailEnd/>
                    </a:ln>
                  </pic:spPr>
                </pic:pic>
              </a:graphicData>
            </a:graphic>
          </wp:inline>
        </w:drawing>
      </w:r>
    </w:p>
    <w:p w:rsidR="00817D09" w:rsidRDefault="00817D09" w:rsidP="00346749">
      <w:pPr>
        <w:pStyle w:val="NoSpacing"/>
        <w:spacing w:line="276" w:lineRule="auto"/>
        <w:ind w:left="1440" w:hanging="1080"/>
        <w:jc w:val="both"/>
        <w:rPr>
          <w:rFonts w:ascii="Arial" w:hAnsi="Arial" w:cs="Arial"/>
          <w:noProof/>
          <w:sz w:val="24"/>
          <w:szCs w:val="24"/>
          <w:lang w:eastAsia="en-ZA"/>
        </w:rPr>
      </w:pPr>
      <w:r w:rsidRPr="00817D09">
        <w:rPr>
          <w:rFonts w:ascii="Arial" w:hAnsi="Arial" w:cs="Arial"/>
          <w:noProof/>
          <w:sz w:val="24"/>
          <w:szCs w:val="24"/>
          <w:lang w:eastAsia="en-ZA"/>
        </w:rPr>
        <w:lastRenderedPageBreak/>
        <w:t>Figure 2: Overall Ranking of Municipalities</w:t>
      </w:r>
      <w:r>
        <w:rPr>
          <w:rFonts w:ascii="Arial" w:hAnsi="Arial" w:cs="Arial"/>
          <w:noProof/>
          <w:sz w:val="24"/>
          <w:szCs w:val="24"/>
          <w:lang w:eastAsia="en-ZA"/>
        </w:rPr>
        <w:t xml:space="preserve"> </w:t>
      </w:r>
    </w:p>
    <w:p w:rsidR="00817D09" w:rsidRDefault="00817D09" w:rsidP="00346749">
      <w:pPr>
        <w:pStyle w:val="NoSpacing"/>
        <w:spacing w:line="276" w:lineRule="auto"/>
        <w:ind w:left="1440" w:hanging="1080"/>
        <w:jc w:val="both"/>
        <w:rPr>
          <w:rFonts w:ascii="Arial Narrow" w:hAnsi="Arial Narrow"/>
          <w:noProof/>
          <w:lang w:eastAsia="en-ZA"/>
        </w:rPr>
      </w:pPr>
    </w:p>
    <w:p w:rsidR="00817D09" w:rsidRDefault="00E72CF9" w:rsidP="00146236">
      <w:pPr>
        <w:pStyle w:val="NoSpacing"/>
        <w:pBdr>
          <w:top w:val="single" w:sz="4" w:space="1" w:color="auto"/>
          <w:left w:val="single" w:sz="4" w:space="4" w:color="auto"/>
          <w:bottom w:val="single" w:sz="4" w:space="1" w:color="auto"/>
          <w:right w:val="single" w:sz="4" w:space="4" w:color="auto"/>
        </w:pBdr>
        <w:spacing w:line="276" w:lineRule="auto"/>
        <w:ind w:left="1440" w:hanging="1080"/>
        <w:jc w:val="both"/>
        <w:rPr>
          <w:rFonts w:ascii="Trebuchet MS" w:hAnsi="Trebuchet MS"/>
          <w:noProof/>
          <w:lang w:eastAsia="en-ZA"/>
        </w:rPr>
      </w:pPr>
      <w:r>
        <w:rPr>
          <w:rFonts w:ascii="Trebuchet MS" w:hAnsi="Trebuchet MS"/>
          <w:noProof/>
          <w:lang w:eastAsia="en-ZA"/>
        </w:rPr>
        <w:drawing>
          <wp:inline distT="0" distB="0" distL="0" distR="0">
            <wp:extent cx="5972175" cy="3514725"/>
            <wp:effectExtent l="1905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5972175" cy="3514725"/>
                    </a:xfrm>
                    <a:prstGeom prst="rect">
                      <a:avLst/>
                    </a:prstGeom>
                    <a:noFill/>
                    <a:ln w="9525">
                      <a:noFill/>
                      <a:miter lim="800000"/>
                      <a:headEnd/>
                      <a:tailEnd/>
                    </a:ln>
                  </pic:spPr>
                </pic:pic>
              </a:graphicData>
            </a:graphic>
          </wp:inline>
        </w:drawing>
      </w:r>
    </w:p>
    <w:p w:rsidR="00817D09" w:rsidRDefault="00817D09" w:rsidP="00346749">
      <w:pPr>
        <w:pStyle w:val="NoSpacing"/>
        <w:spacing w:line="276" w:lineRule="auto"/>
        <w:ind w:left="1440" w:hanging="1080"/>
        <w:jc w:val="both"/>
        <w:rPr>
          <w:rFonts w:ascii="Trebuchet MS" w:hAnsi="Trebuchet MS"/>
          <w:noProof/>
          <w:lang w:eastAsia="en-ZA"/>
        </w:rPr>
      </w:pPr>
    </w:p>
    <w:p w:rsidR="00817D09" w:rsidRDefault="00817D09" w:rsidP="00346749">
      <w:pPr>
        <w:pStyle w:val="NoSpacing"/>
        <w:spacing w:line="276" w:lineRule="auto"/>
        <w:ind w:left="1440" w:hanging="1080"/>
        <w:jc w:val="both"/>
        <w:rPr>
          <w:rFonts w:ascii="Trebuchet MS" w:hAnsi="Trebuchet MS"/>
          <w:noProof/>
          <w:lang w:eastAsia="en-ZA"/>
        </w:rPr>
      </w:pPr>
    </w:p>
    <w:p w:rsidR="00817D09" w:rsidRDefault="00817D09" w:rsidP="00817D09">
      <w:pPr>
        <w:pStyle w:val="NoSpacing"/>
        <w:tabs>
          <w:tab w:val="left" w:pos="720"/>
          <w:tab w:val="left" w:pos="1440"/>
        </w:tabs>
        <w:spacing w:line="276" w:lineRule="auto"/>
        <w:ind w:left="2160" w:hanging="2160"/>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(a) </w:t>
      </w:r>
      <w:r>
        <w:rPr>
          <w:rFonts w:ascii="Arial" w:hAnsi="Arial" w:cs="Arial"/>
          <w:sz w:val="24"/>
          <w:szCs w:val="24"/>
        </w:rPr>
        <w:tab/>
        <w:t xml:space="preserve">(ii) </w:t>
      </w:r>
      <w:r>
        <w:rPr>
          <w:rFonts w:ascii="Arial" w:hAnsi="Arial" w:cs="Arial"/>
          <w:sz w:val="24"/>
          <w:szCs w:val="24"/>
        </w:rPr>
        <w:tab/>
      </w:r>
      <w:r w:rsidR="00382D04">
        <w:rPr>
          <w:rFonts w:ascii="Arial" w:hAnsi="Arial" w:cs="Arial"/>
          <w:sz w:val="24"/>
          <w:szCs w:val="24"/>
        </w:rPr>
        <w:t>The score</w:t>
      </w:r>
      <w:r w:rsidR="00D20CAA">
        <w:rPr>
          <w:rFonts w:ascii="Arial" w:hAnsi="Arial" w:cs="Arial"/>
          <w:sz w:val="24"/>
          <w:szCs w:val="24"/>
        </w:rPr>
        <w:t>s</w:t>
      </w:r>
      <w:r w:rsidR="00382D04">
        <w:rPr>
          <w:rFonts w:ascii="Arial" w:hAnsi="Arial" w:cs="Arial"/>
          <w:sz w:val="24"/>
          <w:szCs w:val="24"/>
        </w:rPr>
        <w:t xml:space="preserve"> </w:t>
      </w:r>
      <w:r w:rsidR="00D20CAA">
        <w:rPr>
          <w:rFonts w:ascii="Arial" w:hAnsi="Arial" w:cs="Arial"/>
          <w:sz w:val="24"/>
          <w:szCs w:val="24"/>
        </w:rPr>
        <w:t>are</w:t>
      </w:r>
      <w:r w:rsidR="00382D04">
        <w:rPr>
          <w:rFonts w:ascii="Arial" w:hAnsi="Arial" w:cs="Arial"/>
          <w:sz w:val="24"/>
          <w:szCs w:val="24"/>
        </w:rPr>
        <w:t xml:space="preserve"> reflected on figure 3 and figure 4 herewith below. </w:t>
      </w:r>
      <w:r w:rsidR="00353068">
        <w:rPr>
          <w:rFonts w:ascii="Arial" w:hAnsi="Arial" w:cs="Arial"/>
          <w:sz w:val="24"/>
          <w:szCs w:val="24"/>
        </w:rPr>
        <w:t>The departments were assessed</w:t>
      </w:r>
      <w:r>
        <w:rPr>
          <w:rFonts w:ascii="Arial" w:hAnsi="Arial" w:cs="Arial"/>
          <w:sz w:val="24"/>
          <w:szCs w:val="24"/>
        </w:rPr>
        <w:t xml:space="preserve"> </w:t>
      </w:r>
      <w:r w:rsidR="00353068">
        <w:rPr>
          <w:rFonts w:ascii="Arial" w:hAnsi="Arial" w:cs="Arial"/>
          <w:sz w:val="24"/>
          <w:szCs w:val="24"/>
        </w:rPr>
        <w:t>on</w:t>
      </w:r>
      <w:r>
        <w:rPr>
          <w:rFonts w:ascii="Arial" w:hAnsi="Arial" w:cs="Arial"/>
          <w:sz w:val="24"/>
          <w:szCs w:val="24"/>
        </w:rPr>
        <w:t xml:space="preserve"> Accessibility, Reliability, Quality of Service, Sta</w:t>
      </w:r>
      <w:r w:rsidR="00AC1378">
        <w:rPr>
          <w:rFonts w:ascii="Arial" w:hAnsi="Arial" w:cs="Arial"/>
          <w:sz w:val="24"/>
          <w:szCs w:val="24"/>
        </w:rPr>
        <w:t>ff Performance, Transparency and</w:t>
      </w:r>
      <w:r>
        <w:rPr>
          <w:rFonts w:ascii="Arial" w:hAnsi="Arial" w:cs="Arial"/>
          <w:sz w:val="24"/>
          <w:szCs w:val="24"/>
        </w:rPr>
        <w:t xml:space="preserve"> Openness and</w:t>
      </w:r>
      <w:r w:rsidR="00AC1378">
        <w:rPr>
          <w:rFonts w:ascii="Arial" w:hAnsi="Arial" w:cs="Arial"/>
          <w:sz w:val="24"/>
          <w:szCs w:val="24"/>
        </w:rPr>
        <w:t xml:space="preserve"> also</w:t>
      </w:r>
      <w:r>
        <w:rPr>
          <w:rFonts w:ascii="Arial" w:hAnsi="Arial" w:cs="Arial"/>
          <w:sz w:val="24"/>
          <w:szCs w:val="24"/>
        </w:rPr>
        <w:t xml:space="preserve"> Avenue for Redress whilst the municipalities were assessed using the Batho</w:t>
      </w:r>
      <w:r w:rsidR="00AB3721">
        <w:rPr>
          <w:rFonts w:ascii="Arial" w:hAnsi="Arial" w:cs="Arial"/>
          <w:sz w:val="24"/>
          <w:szCs w:val="24"/>
        </w:rPr>
        <w:t xml:space="preserve"> Pele principles.</w:t>
      </w:r>
      <w:r>
        <w:rPr>
          <w:rFonts w:ascii="Arial" w:hAnsi="Arial" w:cs="Arial"/>
          <w:sz w:val="24"/>
          <w:szCs w:val="24"/>
        </w:rPr>
        <w:t xml:space="preserve"> The satisfaction of citizens against a range of municipal basic services was also assessed. </w:t>
      </w:r>
    </w:p>
    <w:p w:rsidR="00146236" w:rsidRDefault="00146236" w:rsidP="00817D09">
      <w:pPr>
        <w:pStyle w:val="NoSpacing"/>
        <w:tabs>
          <w:tab w:val="left" w:pos="720"/>
          <w:tab w:val="left" w:pos="1440"/>
        </w:tabs>
        <w:spacing w:line="276" w:lineRule="auto"/>
        <w:ind w:left="2160" w:hanging="2160"/>
        <w:jc w:val="both"/>
        <w:rPr>
          <w:rFonts w:ascii="Arial" w:hAnsi="Arial" w:cs="Arial"/>
          <w:sz w:val="24"/>
          <w:szCs w:val="24"/>
        </w:rPr>
      </w:pPr>
    </w:p>
    <w:p w:rsidR="00146236" w:rsidRPr="00146236" w:rsidRDefault="00146236" w:rsidP="00146236">
      <w:pPr>
        <w:pStyle w:val="NoSpacing"/>
        <w:spacing w:line="276" w:lineRule="auto"/>
        <w:ind w:left="855" w:hanging="585"/>
        <w:jc w:val="both"/>
        <w:rPr>
          <w:rFonts w:ascii="Arial" w:hAnsi="Arial" w:cs="Arial"/>
          <w:sz w:val="24"/>
          <w:szCs w:val="24"/>
        </w:rPr>
      </w:pPr>
      <w:r w:rsidRPr="00146236">
        <w:rPr>
          <w:rFonts w:ascii="Arial" w:hAnsi="Arial" w:cs="Arial"/>
          <w:sz w:val="24"/>
          <w:szCs w:val="24"/>
        </w:rPr>
        <w:t>Figure 3: Ranking of Departments against service delivery attributes</w:t>
      </w:r>
    </w:p>
    <w:p w:rsidR="00146236" w:rsidRDefault="00146236" w:rsidP="00817D09">
      <w:pPr>
        <w:pStyle w:val="NoSpacing"/>
        <w:spacing w:line="276" w:lineRule="auto"/>
        <w:ind w:left="855" w:hanging="855"/>
        <w:jc w:val="both"/>
        <w:rPr>
          <w:rFonts w:ascii="Arial" w:hAnsi="Arial" w:cs="Arial"/>
          <w:sz w:val="24"/>
          <w:szCs w:val="24"/>
        </w:rPr>
      </w:pPr>
      <w:r>
        <w:rPr>
          <w:rFonts w:ascii="Arial" w:hAnsi="Arial" w:cs="Arial"/>
          <w:sz w:val="24"/>
          <w:szCs w:val="24"/>
        </w:rPr>
        <w:tab/>
      </w:r>
    </w:p>
    <w:p w:rsidR="00146236" w:rsidRDefault="00E72CF9" w:rsidP="00146236">
      <w:pPr>
        <w:pStyle w:val="NoSpacing"/>
        <w:pBdr>
          <w:top w:val="single" w:sz="4" w:space="1" w:color="auto"/>
          <w:left w:val="single" w:sz="4" w:space="0" w:color="auto"/>
          <w:bottom w:val="single" w:sz="4" w:space="1" w:color="auto"/>
          <w:right w:val="single" w:sz="4" w:space="4" w:color="auto"/>
        </w:pBdr>
        <w:spacing w:line="276" w:lineRule="auto"/>
        <w:ind w:left="855" w:hanging="585"/>
        <w:jc w:val="both"/>
        <w:rPr>
          <w:rFonts w:ascii="Arial" w:hAnsi="Arial" w:cs="Arial"/>
          <w:sz w:val="24"/>
          <w:szCs w:val="24"/>
        </w:rPr>
      </w:pPr>
      <w:r>
        <w:rPr>
          <w:rFonts w:ascii="Arial Narrow" w:hAnsi="Arial Narrow"/>
          <w:noProof/>
          <w:lang w:eastAsia="en-ZA"/>
        </w:rPr>
        <w:drawing>
          <wp:inline distT="0" distB="0" distL="0" distR="0">
            <wp:extent cx="5943600" cy="1933575"/>
            <wp:effectExtent l="1905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5943600" cy="1933575"/>
                    </a:xfrm>
                    <a:prstGeom prst="rect">
                      <a:avLst/>
                    </a:prstGeom>
                    <a:noFill/>
                    <a:ln w="9525">
                      <a:noFill/>
                      <a:miter lim="800000"/>
                      <a:headEnd/>
                      <a:tailEnd/>
                    </a:ln>
                  </pic:spPr>
                </pic:pic>
              </a:graphicData>
            </a:graphic>
          </wp:inline>
        </w:drawing>
      </w:r>
    </w:p>
    <w:p w:rsidR="00817D09" w:rsidRDefault="00817D09" w:rsidP="00346749">
      <w:pPr>
        <w:pStyle w:val="NoSpacing"/>
        <w:spacing w:line="276" w:lineRule="auto"/>
        <w:ind w:left="1440" w:hanging="1080"/>
        <w:jc w:val="both"/>
        <w:rPr>
          <w:rFonts w:ascii="Arial" w:hAnsi="Arial" w:cs="Arial"/>
          <w:sz w:val="24"/>
          <w:szCs w:val="24"/>
        </w:rPr>
      </w:pPr>
    </w:p>
    <w:p w:rsidR="00146236" w:rsidRPr="00146236" w:rsidRDefault="00146236" w:rsidP="00146236">
      <w:pPr>
        <w:pStyle w:val="NoSpacing"/>
        <w:ind w:left="270"/>
        <w:rPr>
          <w:rFonts w:ascii="Arial" w:hAnsi="Arial" w:cs="Arial"/>
          <w:sz w:val="24"/>
          <w:szCs w:val="24"/>
        </w:rPr>
      </w:pPr>
      <w:r w:rsidRPr="00146236">
        <w:rPr>
          <w:rFonts w:ascii="Arial" w:hAnsi="Arial" w:cs="Arial"/>
          <w:sz w:val="24"/>
          <w:szCs w:val="24"/>
        </w:rPr>
        <w:lastRenderedPageBreak/>
        <w:t xml:space="preserve">Figure 4: Performance of municipalities </w:t>
      </w:r>
      <w:r w:rsidRPr="00146236">
        <w:rPr>
          <w:rFonts w:ascii="Arial" w:hAnsi="Arial" w:cs="Arial"/>
          <w:i/>
          <w:sz w:val="24"/>
          <w:szCs w:val="24"/>
        </w:rPr>
        <w:t>against Batho Pele principles</w:t>
      </w:r>
    </w:p>
    <w:p w:rsidR="00146236" w:rsidRDefault="00146236" w:rsidP="00146236">
      <w:pPr>
        <w:pStyle w:val="NoSpacing"/>
        <w:spacing w:line="276" w:lineRule="auto"/>
        <w:jc w:val="both"/>
        <w:rPr>
          <w:rFonts w:ascii="Arial" w:hAnsi="Arial" w:cs="Arial"/>
          <w:sz w:val="24"/>
          <w:szCs w:val="24"/>
        </w:rPr>
      </w:pPr>
    </w:p>
    <w:p w:rsidR="00146236" w:rsidRDefault="00E72CF9" w:rsidP="00146236">
      <w:pPr>
        <w:pStyle w:val="NoSpacing"/>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rPr>
      </w:pPr>
      <w:r>
        <w:rPr>
          <w:rFonts w:ascii="Arial Narrow" w:hAnsi="Arial Narrow"/>
          <w:noProof/>
          <w:lang w:eastAsia="en-ZA"/>
        </w:rPr>
        <w:drawing>
          <wp:inline distT="0" distB="0" distL="0" distR="0">
            <wp:extent cx="6076950" cy="2686050"/>
            <wp:effectExtent l="0" t="0" r="0" b="0"/>
            <wp:docPr id="4"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srcRect/>
                    <a:stretch>
                      <a:fillRect/>
                    </a:stretch>
                  </pic:blipFill>
                  <pic:spPr bwMode="auto">
                    <a:xfrm>
                      <a:off x="0" y="0"/>
                      <a:ext cx="6076950" cy="2686050"/>
                    </a:xfrm>
                    <a:prstGeom prst="rect">
                      <a:avLst/>
                    </a:prstGeom>
                    <a:noFill/>
                    <a:ln w="9525">
                      <a:noFill/>
                      <a:miter lim="800000"/>
                      <a:headEnd/>
                      <a:tailEnd/>
                    </a:ln>
                  </pic:spPr>
                </pic:pic>
              </a:graphicData>
            </a:graphic>
          </wp:inline>
        </w:drawing>
      </w:r>
    </w:p>
    <w:p w:rsidR="00146236" w:rsidRDefault="00146236" w:rsidP="00146236">
      <w:pPr>
        <w:pStyle w:val="NoSpacing"/>
        <w:spacing w:line="276" w:lineRule="auto"/>
        <w:jc w:val="both"/>
        <w:rPr>
          <w:rFonts w:ascii="Arial" w:hAnsi="Arial" w:cs="Arial"/>
          <w:sz w:val="24"/>
          <w:szCs w:val="24"/>
        </w:rPr>
      </w:pPr>
    </w:p>
    <w:p w:rsidR="00146236" w:rsidRDefault="00146236" w:rsidP="00146236">
      <w:pPr>
        <w:pStyle w:val="NoSpacing"/>
        <w:spacing w:line="276" w:lineRule="auto"/>
        <w:jc w:val="both"/>
        <w:rPr>
          <w:rFonts w:ascii="Arial" w:hAnsi="Arial" w:cs="Arial"/>
          <w:sz w:val="24"/>
          <w:szCs w:val="24"/>
        </w:rPr>
      </w:pPr>
    </w:p>
    <w:p w:rsidR="00AB3721" w:rsidRDefault="00382D04" w:rsidP="00382D04">
      <w:pPr>
        <w:pStyle w:val="NoSpacing"/>
        <w:tabs>
          <w:tab w:val="left" w:pos="720"/>
          <w:tab w:val="left" w:pos="1440"/>
          <w:tab w:val="left" w:pos="2160"/>
        </w:tabs>
        <w:ind w:left="2160" w:hanging="2160"/>
        <w:jc w:val="both"/>
        <w:rPr>
          <w:rFonts w:ascii="Arial" w:hAnsi="Arial" w:cs="Arial"/>
          <w:sz w:val="24"/>
          <w:szCs w:val="24"/>
        </w:rPr>
      </w:pPr>
      <w:r>
        <w:rPr>
          <w:rFonts w:ascii="Arial" w:hAnsi="Arial" w:cs="Arial"/>
          <w:sz w:val="24"/>
          <w:szCs w:val="24"/>
        </w:rPr>
        <w:t>(</w:t>
      </w:r>
      <w:r w:rsidRPr="00175B41">
        <w:rPr>
          <w:rFonts w:ascii="Arial" w:hAnsi="Arial" w:cs="Arial"/>
          <w:sz w:val="24"/>
          <w:szCs w:val="24"/>
        </w:rPr>
        <w:t>2</w:t>
      </w:r>
      <w:r>
        <w:rPr>
          <w:rFonts w:ascii="Arial" w:hAnsi="Arial" w:cs="Arial"/>
          <w:sz w:val="24"/>
          <w:szCs w:val="24"/>
        </w:rPr>
        <w:t>)</w:t>
      </w:r>
      <w:r w:rsidRPr="00175B41">
        <w:rPr>
          <w:rFonts w:ascii="Arial" w:hAnsi="Arial" w:cs="Arial"/>
          <w:sz w:val="24"/>
          <w:szCs w:val="24"/>
        </w:rPr>
        <w:t xml:space="preserve"> </w:t>
      </w:r>
      <w:r>
        <w:rPr>
          <w:rFonts w:ascii="Arial" w:hAnsi="Arial" w:cs="Arial"/>
          <w:sz w:val="24"/>
          <w:szCs w:val="24"/>
        </w:rPr>
        <w:tab/>
      </w:r>
      <w:r w:rsidRPr="00175B41">
        <w:rPr>
          <w:rFonts w:ascii="Arial" w:hAnsi="Arial" w:cs="Arial"/>
          <w:sz w:val="24"/>
          <w:szCs w:val="24"/>
        </w:rPr>
        <w:t>(</w:t>
      </w:r>
      <w:r>
        <w:rPr>
          <w:rFonts w:ascii="Arial" w:hAnsi="Arial" w:cs="Arial"/>
          <w:sz w:val="24"/>
          <w:szCs w:val="24"/>
        </w:rPr>
        <w:t>b</w:t>
      </w:r>
      <w:r w:rsidRPr="00175B41">
        <w:rPr>
          <w:rFonts w:ascii="Arial" w:hAnsi="Arial" w:cs="Arial"/>
          <w:sz w:val="24"/>
          <w:szCs w:val="24"/>
        </w:rPr>
        <w:t xml:space="preserve">) </w:t>
      </w:r>
      <w:r>
        <w:rPr>
          <w:rFonts w:ascii="Arial" w:hAnsi="Arial" w:cs="Arial"/>
          <w:sz w:val="24"/>
          <w:szCs w:val="24"/>
        </w:rPr>
        <w:tab/>
      </w:r>
      <w:r w:rsidRPr="00175B41">
        <w:rPr>
          <w:rFonts w:ascii="Arial" w:hAnsi="Arial" w:cs="Arial"/>
          <w:sz w:val="24"/>
          <w:szCs w:val="24"/>
        </w:rPr>
        <w:t>(</w:t>
      </w:r>
      <w:r>
        <w:rPr>
          <w:rFonts w:ascii="Arial" w:hAnsi="Arial" w:cs="Arial"/>
          <w:sz w:val="24"/>
          <w:szCs w:val="24"/>
        </w:rPr>
        <w:t>i</w:t>
      </w:r>
      <w:r w:rsidRPr="00175B41">
        <w:rPr>
          <w:rFonts w:ascii="Arial" w:hAnsi="Arial" w:cs="Arial"/>
          <w:sz w:val="24"/>
          <w:szCs w:val="24"/>
        </w:rPr>
        <w:t>)</w:t>
      </w:r>
      <w:r>
        <w:rPr>
          <w:rFonts w:ascii="Arial" w:hAnsi="Arial" w:cs="Arial"/>
          <w:sz w:val="24"/>
          <w:szCs w:val="24"/>
        </w:rPr>
        <w:t xml:space="preserve"> </w:t>
      </w:r>
      <w:r>
        <w:rPr>
          <w:rFonts w:ascii="Arial" w:hAnsi="Arial" w:cs="Arial"/>
          <w:sz w:val="24"/>
          <w:szCs w:val="24"/>
        </w:rPr>
        <w:tab/>
        <w:t>The benchmarks</w:t>
      </w:r>
      <w:r w:rsidR="00AC1378">
        <w:rPr>
          <w:rFonts w:ascii="Arial" w:hAnsi="Arial" w:cs="Arial"/>
          <w:sz w:val="24"/>
          <w:szCs w:val="24"/>
        </w:rPr>
        <w:t xml:space="preserve"> reflected in figure</w:t>
      </w:r>
      <w:r>
        <w:rPr>
          <w:rFonts w:ascii="Arial" w:hAnsi="Arial" w:cs="Arial"/>
          <w:sz w:val="24"/>
          <w:szCs w:val="24"/>
        </w:rPr>
        <w:t xml:space="preserve"> 1 and</w:t>
      </w:r>
      <w:r w:rsidR="00AC1378">
        <w:rPr>
          <w:rFonts w:ascii="Arial" w:hAnsi="Arial" w:cs="Arial"/>
          <w:sz w:val="24"/>
          <w:szCs w:val="24"/>
        </w:rPr>
        <w:t xml:space="preserve"> figure</w:t>
      </w:r>
      <w:r>
        <w:rPr>
          <w:rFonts w:ascii="Arial" w:hAnsi="Arial" w:cs="Arial"/>
          <w:sz w:val="24"/>
          <w:szCs w:val="24"/>
        </w:rPr>
        <w:t xml:space="preserve"> 2</w:t>
      </w:r>
      <w:r w:rsidR="00AC1378">
        <w:rPr>
          <w:rFonts w:ascii="Arial" w:hAnsi="Arial" w:cs="Arial"/>
          <w:sz w:val="24"/>
          <w:szCs w:val="24"/>
        </w:rPr>
        <w:t xml:space="preserve"> above</w:t>
      </w:r>
      <w:r>
        <w:rPr>
          <w:rFonts w:ascii="Arial" w:hAnsi="Arial" w:cs="Arial"/>
          <w:sz w:val="24"/>
          <w:szCs w:val="24"/>
        </w:rPr>
        <w:t xml:space="preserve"> were </w:t>
      </w:r>
      <w:r w:rsidR="00AC1378">
        <w:rPr>
          <w:rFonts w:ascii="Arial" w:hAnsi="Arial" w:cs="Arial"/>
          <w:sz w:val="24"/>
          <w:szCs w:val="24"/>
        </w:rPr>
        <w:t>on the following</w:t>
      </w:r>
      <w:r w:rsidR="00AB3721">
        <w:rPr>
          <w:rFonts w:ascii="Arial" w:hAnsi="Arial" w:cs="Arial"/>
          <w:sz w:val="24"/>
          <w:szCs w:val="24"/>
        </w:rPr>
        <w:t>:</w:t>
      </w:r>
    </w:p>
    <w:p w:rsidR="00AB3721" w:rsidRDefault="00AB3721" w:rsidP="00382D04">
      <w:pPr>
        <w:pStyle w:val="NoSpacing"/>
        <w:tabs>
          <w:tab w:val="left" w:pos="720"/>
          <w:tab w:val="left" w:pos="1440"/>
          <w:tab w:val="left" w:pos="2160"/>
        </w:tabs>
        <w:ind w:left="2160" w:hanging="2160"/>
        <w:jc w:val="both"/>
        <w:rPr>
          <w:rFonts w:ascii="Arial" w:hAnsi="Arial" w:cs="Arial"/>
          <w:sz w:val="24"/>
          <w:szCs w:val="24"/>
        </w:rPr>
      </w:pPr>
      <w:r>
        <w:rPr>
          <w:rFonts w:ascii="Arial" w:hAnsi="Arial" w:cs="Arial"/>
          <w:sz w:val="24"/>
          <w:szCs w:val="24"/>
        </w:rPr>
        <w:t xml:space="preserve"> </w:t>
      </w:r>
    </w:p>
    <w:p w:rsidR="00AB3721" w:rsidRDefault="00382D04" w:rsidP="00AB3721">
      <w:pPr>
        <w:pStyle w:val="NoSpacing"/>
        <w:numPr>
          <w:ilvl w:val="0"/>
          <w:numId w:val="10"/>
        </w:numPr>
        <w:tabs>
          <w:tab w:val="left" w:pos="720"/>
          <w:tab w:val="left" w:pos="1440"/>
          <w:tab w:val="left" w:pos="2160"/>
        </w:tabs>
        <w:jc w:val="both"/>
        <w:rPr>
          <w:rFonts w:ascii="Arial" w:hAnsi="Arial" w:cs="Arial"/>
          <w:sz w:val="24"/>
          <w:szCs w:val="24"/>
        </w:rPr>
      </w:pPr>
      <w:r>
        <w:rPr>
          <w:rFonts w:ascii="Arial" w:hAnsi="Arial" w:cs="Arial"/>
          <w:sz w:val="24"/>
          <w:szCs w:val="24"/>
        </w:rPr>
        <w:t xml:space="preserve">Minimum level of service expected and </w:t>
      </w:r>
    </w:p>
    <w:p w:rsidR="00AB3721" w:rsidRDefault="00382D04" w:rsidP="00AB3721">
      <w:pPr>
        <w:pStyle w:val="NoSpacing"/>
        <w:numPr>
          <w:ilvl w:val="0"/>
          <w:numId w:val="10"/>
        </w:numPr>
        <w:tabs>
          <w:tab w:val="left" w:pos="720"/>
          <w:tab w:val="left" w:pos="1440"/>
          <w:tab w:val="left" w:pos="2160"/>
        </w:tabs>
        <w:jc w:val="both"/>
        <w:rPr>
          <w:rFonts w:ascii="Arial" w:hAnsi="Arial" w:cs="Arial"/>
          <w:sz w:val="24"/>
          <w:szCs w:val="24"/>
        </w:rPr>
      </w:pPr>
      <w:r>
        <w:rPr>
          <w:rFonts w:ascii="Arial" w:hAnsi="Arial" w:cs="Arial"/>
          <w:sz w:val="24"/>
          <w:szCs w:val="24"/>
        </w:rPr>
        <w:t xml:space="preserve">Ideal level of service required. </w:t>
      </w:r>
    </w:p>
    <w:p w:rsidR="00AB3721" w:rsidRDefault="00AB3721" w:rsidP="00AB3721">
      <w:pPr>
        <w:pStyle w:val="NoSpacing"/>
        <w:tabs>
          <w:tab w:val="left" w:pos="720"/>
          <w:tab w:val="left" w:pos="1440"/>
          <w:tab w:val="left" w:pos="2160"/>
        </w:tabs>
        <w:jc w:val="both"/>
        <w:rPr>
          <w:rFonts w:ascii="Arial" w:hAnsi="Arial" w:cs="Arial"/>
          <w:sz w:val="24"/>
          <w:szCs w:val="24"/>
        </w:rPr>
      </w:pPr>
    </w:p>
    <w:p w:rsidR="00382D04" w:rsidRDefault="00AB3721" w:rsidP="00AC1378">
      <w:pPr>
        <w:pStyle w:val="NoSpacing"/>
        <w:tabs>
          <w:tab w:val="left" w:pos="720"/>
          <w:tab w:val="left" w:pos="1440"/>
          <w:tab w:val="left" w:pos="2160"/>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953"/>
        <w:gridCol w:w="2532"/>
      </w:tblGrid>
      <w:tr w:rsidR="00382D04" w:rsidRPr="00A12586" w:rsidTr="00677E0F">
        <w:tc>
          <w:tcPr>
            <w:tcW w:w="2093" w:type="dxa"/>
            <w:tcBorders>
              <w:top w:val="nil"/>
              <w:left w:val="nil"/>
            </w:tcBorders>
            <w:shd w:val="clear" w:color="auto" w:fill="auto"/>
          </w:tcPr>
          <w:p w:rsidR="00382D04" w:rsidRPr="00A12586" w:rsidRDefault="00382D04" w:rsidP="00677E0F">
            <w:pPr>
              <w:pStyle w:val="NoSpacing"/>
              <w:rPr>
                <w:rFonts w:ascii="Arial" w:hAnsi="Arial" w:cs="Arial"/>
                <w:sz w:val="24"/>
                <w:szCs w:val="24"/>
              </w:rPr>
            </w:pPr>
            <w:r w:rsidRPr="00A12586">
              <w:rPr>
                <w:rFonts w:ascii="Arial" w:hAnsi="Arial" w:cs="Arial"/>
                <w:sz w:val="24"/>
                <w:szCs w:val="24"/>
              </w:rPr>
              <w:tab/>
            </w:r>
          </w:p>
        </w:tc>
        <w:tc>
          <w:tcPr>
            <w:tcW w:w="2953" w:type="dxa"/>
            <w:shd w:val="clear" w:color="auto" w:fill="BFBFBF"/>
          </w:tcPr>
          <w:p w:rsidR="00382D04" w:rsidRPr="00AC1378" w:rsidRDefault="00382D04" w:rsidP="00AC1378">
            <w:pPr>
              <w:pStyle w:val="NoSpacing"/>
              <w:rPr>
                <w:rFonts w:ascii="Arial" w:hAnsi="Arial" w:cs="Arial"/>
                <w:b/>
                <w:sz w:val="24"/>
                <w:szCs w:val="24"/>
              </w:rPr>
            </w:pPr>
            <w:r w:rsidRPr="00AC1378">
              <w:rPr>
                <w:rFonts w:ascii="Arial" w:hAnsi="Arial" w:cs="Arial"/>
                <w:b/>
                <w:sz w:val="24"/>
                <w:szCs w:val="24"/>
              </w:rPr>
              <w:t>Minimum</w:t>
            </w:r>
            <w:r w:rsidR="00AC1378" w:rsidRPr="00AC1378">
              <w:rPr>
                <w:rFonts w:ascii="Arial" w:hAnsi="Arial" w:cs="Arial"/>
                <w:b/>
                <w:sz w:val="24"/>
                <w:szCs w:val="24"/>
              </w:rPr>
              <w:t xml:space="preserve"> service</w:t>
            </w:r>
            <w:r w:rsidRPr="00AC1378">
              <w:rPr>
                <w:rFonts w:ascii="Arial" w:hAnsi="Arial" w:cs="Arial"/>
                <w:b/>
                <w:sz w:val="24"/>
                <w:szCs w:val="24"/>
              </w:rPr>
              <w:t xml:space="preserve"> expected</w:t>
            </w:r>
          </w:p>
        </w:tc>
        <w:tc>
          <w:tcPr>
            <w:tcW w:w="2532" w:type="dxa"/>
            <w:shd w:val="clear" w:color="auto" w:fill="BFBFBF"/>
          </w:tcPr>
          <w:p w:rsidR="00382D04" w:rsidRPr="00AC1378" w:rsidRDefault="00382D04" w:rsidP="00AC1378">
            <w:pPr>
              <w:pStyle w:val="NoSpacing"/>
              <w:rPr>
                <w:rFonts w:ascii="Arial" w:hAnsi="Arial" w:cs="Arial"/>
                <w:b/>
                <w:sz w:val="24"/>
                <w:szCs w:val="24"/>
              </w:rPr>
            </w:pPr>
            <w:r w:rsidRPr="00AC1378">
              <w:rPr>
                <w:rFonts w:ascii="Arial" w:hAnsi="Arial" w:cs="Arial"/>
                <w:b/>
                <w:sz w:val="24"/>
                <w:szCs w:val="24"/>
              </w:rPr>
              <w:t xml:space="preserve">Ideal </w:t>
            </w:r>
            <w:r w:rsidR="00AC1378" w:rsidRPr="00AC1378">
              <w:rPr>
                <w:rFonts w:ascii="Arial" w:hAnsi="Arial" w:cs="Arial"/>
                <w:b/>
                <w:sz w:val="24"/>
                <w:szCs w:val="24"/>
              </w:rPr>
              <w:t xml:space="preserve"> level of service r</w:t>
            </w:r>
            <w:r w:rsidRPr="00AC1378">
              <w:rPr>
                <w:rFonts w:ascii="Arial" w:hAnsi="Arial" w:cs="Arial"/>
                <w:b/>
                <w:sz w:val="24"/>
                <w:szCs w:val="24"/>
              </w:rPr>
              <w:t>equired</w:t>
            </w:r>
          </w:p>
        </w:tc>
      </w:tr>
      <w:tr w:rsidR="00382D04" w:rsidRPr="00A12586" w:rsidTr="00AB3721">
        <w:tc>
          <w:tcPr>
            <w:tcW w:w="2093" w:type="dxa"/>
            <w:shd w:val="clear" w:color="auto" w:fill="auto"/>
          </w:tcPr>
          <w:p w:rsidR="00382D04" w:rsidRPr="00A12586" w:rsidRDefault="00382D04" w:rsidP="00677E0F">
            <w:pPr>
              <w:pStyle w:val="NoSpacing"/>
              <w:rPr>
                <w:rFonts w:ascii="Arial" w:hAnsi="Arial" w:cs="Arial"/>
                <w:sz w:val="24"/>
                <w:szCs w:val="24"/>
              </w:rPr>
            </w:pPr>
            <w:r w:rsidRPr="00A12586">
              <w:rPr>
                <w:rFonts w:ascii="Arial" w:hAnsi="Arial" w:cs="Arial"/>
                <w:sz w:val="24"/>
                <w:szCs w:val="24"/>
              </w:rPr>
              <w:t>Departments</w:t>
            </w:r>
          </w:p>
        </w:tc>
        <w:tc>
          <w:tcPr>
            <w:tcW w:w="2953" w:type="dxa"/>
            <w:shd w:val="clear" w:color="auto" w:fill="auto"/>
          </w:tcPr>
          <w:p w:rsidR="00382D04" w:rsidRPr="00A12586" w:rsidRDefault="00382D04" w:rsidP="00677E0F">
            <w:pPr>
              <w:pStyle w:val="NoSpacing"/>
              <w:jc w:val="center"/>
              <w:rPr>
                <w:rFonts w:ascii="Arial" w:hAnsi="Arial" w:cs="Arial"/>
                <w:sz w:val="24"/>
                <w:szCs w:val="24"/>
              </w:rPr>
            </w:pPr>
            <w:r w:rsidRPr="00A12586">
              <w:rPr>
                <w:rFonts w:ascii="Arial" w:hAnsi="Arial" w:cs="Arial"/>
                <w:sz w:val="24"/>
                <w:szCs w:val="24"/>
              </w:rPr>
              <w:t>73.78%</w:t>
            </w:r>
          </w:p>
        </w:tc>
        <w:tc>
          <w:tcPr>
            <w:tcW w:w="2532" w:type="dxa"/>
            <w:shd w:val="clear" w:color="auto" w:fill="auto"/>
          </w:tcPr>
          <w:p w:rsidR="00382D04" w:rsidRPr="00A12586" w:rsidRDefault="00382D04" w:rsidP="00677E0F">
            <w:pPr>
              <w:pStyle w:val="NoSpacing"/>
              <w:jc w:val="center"/>
              <w:rPr>
                <w:rFonts w:ascii="Arial" w:hAnsi="Arial" w:cs="Arial"/>
                <w:sz w:val="24"/>
                <w:szCs w:val="24"/>
              </w:rPr>
            </w:pPr>
            <w:r w:rsidRPr="00A12586">
              <w:rPr>
                <w:rFonts w:ascii="Arial" w:hAnsi="Arial" w:cs="Arial"/>
                <w:sz w:val="24"/>
                <w:szCs w:val="24"/>
              </w:rPr>
              <w:t>87.78%</w:t>
            </w:r>
          </w:p>
        </w:tc>
      </w:tr>
      <w:tr w:rsidR="00382D04" w:rsidRPr="00A12586" w:rsidTr="00AB3721">
        <w:tc>
          <w:tcPr>
            <w:tcW w:w="2093" w:type="dxa"/>
            <w:shd w:val="clear" w:color="auto" w:fill="auto"/>
          </w:tcPr>
          <w:p w:rsidR="00382D04" w:rsidRPr="00A12586" w:rsidRDefault="00382D04" w:rsidP="00677E0F">
            <w:pPr>
              <w:pStyle w:val="NoSpacing"/>
              <w:rPr>
                <w:rFonts w:ascii="Arial" w:hAnsi="Arial" w:cs="Arial"/>
                <w:sz w:val="24"/>
                <w:szCs w:val="24"/>
              </w:rPr>
            </w:pPr>
            <w:r w:rsidRPr="00A12586">
              <w:rPr>
                <w:rFonts w:ascii="Arial" w:hAnsi="Arial" w:cs="Arial"/>
                <w:sz w:val="24"/>
                <w:szCs w:val="24"/>
              </w:rPr>
              <w:t>Municipalities</w:t>
            </w:r>
          </w:p>
        </w:tc>
        <w:tc>
          <w:tcPr>
            <w:tcW w:w="2953" w:type="dxa"/>
            <w:shd w:val="clear" w:color="auto" w:fill="auto"/>
          </w:tcPr>
          <w:p w:rsidR="00382D04" w:rsidRPr="00A12586" w:rsidRDefault="00382D04" w:rsidP="00677E0F">
            <w:pPr>
              <w:pStyle w:val="NoSpacing"/>
              <w:jc w:val="center"/>
              <w:rPr>
                <w:rFonts w:ascii="Arial" w:hAnsi="Arial" w:cs="Arial"/>
                <w:sz w:val="24"/>
                <w:szCs w:val="24"/>
              </w:rPr>
            </w:pPr>
            <w:r w:rsidRPr="00A12586">
              <w:rPr>
                <w:rFonts w:ascii="Arial" w:hAnsi="Arial" w:cs="Arial"/>
                <w:sz w:val="24"/>
                <w:szCs w:val="24"/>
              </w:rPr>
              <w:t>67.00%</w:t>
            </w:r>
          </w:p>
        </w:tc>
        <w:tc>
          <w:tcPr>
            <w:tcW w:w="2532" w:type="dxa"/>
            <w:shd w:val="clear" w:color="auto" w:fill="auto"/>
          </w:tcPr>
          <w:p w:rsidR="00382D04" w:rsidRPr="00A12586" w:rsidRDefault="00382D04" w:rsidP="00677E0F">
            <w:pPr>
              <w:pStyle w:val="NoSpacing"/>
              <w:jc w:val="center"/>
              <w:rPr>
                <w:rFonts w:ascii="Arial" w:hAnsi="Arial" w:cs="Arial"/>
                <w:sz w:val="24"/>
                <w:szCs w:val="24"/>
              </w:rPr>
            </w:pPr>
            <w:r w:rsidRPr="00A12586">
              <w:rPr>
                <w:rFonts w:ascii="Arial" w:hAnsi="Arial" w:cs="Arial"/>
                <w:sz w:val="24"/>
                <w:szCs w:val="24"/>
              </w:rPr>
              <w:t>89.40%</w:t>
            </w:r>
          </w:p>
        </w:tc>
      </w:tr>
    </w:tbl>
    <w:p w:rsidR="00382D04" w:rsidRDefault="00382D04" w:rsidP="00382D04">
      <w:pPr>
        <w:pStyle w:val="NoSpacing"/>
        <w:ind w:left="851" w:hanging="851"/>
        <w:rPr>
          <w:rFonts w:ascii="Arial" w:hAnsi="Arial" w:cs="Arial"/>
          <w:sz w:val="24"/>
          <w:szCs w:val="24"/>
        </w:rPr>
      </w:pPr>
      <w:r>
        <w:rPr>
          <w:rFonts w:ascii="Arial" w:hAnsi="Arial" w:cs="Arial"/>
          <w:sz w:val="24"/>
          <w:szCs w:val="24"/>
        </w:rPr>
        <w:t xml:space="preserve"> </w:t>
      </w:r>
    </w:p>
    <w:p w:rsidR="00382D04" w:rsidRDefault="00382D04" w:rsidP="00AB3721">
      <w:pPr>
        <w:pStyle w:val="NoSpacing"/>
        <w:ind w:left="2160" w:hanging="720"/>
        <w:jc w:val="both"/>
        <w:rPr>
          <w:rFonts w:ascii="Arial" w:hAnsi="Arial" w:cs="Arial"/>
          <w:sz w:val="24"/>
          <w:szCs w:val="24"/>
        </w:rPr>
      </w:pPr>
      <w:r>
        <w:rPr>
          <w:rFonts w:ascii="Arial" w:hAnsi="Arial" w:cs="Arial"/>
          <w:sz w:val="24"/>
          <w:szCs w:val="24"/>
        </w:rPr>
        <w:t>(ii)</w:t>
      </w:r>
      <w:r w:rsidR="00AB3721">
        <w:rPr>
          <w:rFonts w:ascii="Arial" w:hAnsi="Arial" w:cs="Arial"/>
          <w:sz w:val="24"/>
          <w:szCs w:val="24"/>
        </w:rPr>
        <w:t xml:space="preserve">  </w:t>
      </w:r>
      <w:r w:rsidR="00AB3721">
        <w:rPr>
          <w:rFonts w:ascii="Arial" w:hAnsi="Arial" w:cs="Arial"/>
          <w:sz w:val="24"/>
          <w:szCs w:val="24"/>
        </w:rPr>
        <w:tab/>
      </w:r>
      <w:r>
        <w:rPr>
          <w:rFonts w:ascii="Arial" w:hAnsi="Arial" w:cs="Arial"/>
          <w:sz w:val="24"/>
          <w:szCs w:val="24"/>
        </w:rPr>
        <w:t>The benchmarks indicated above are considered acceptable as they were sourced from the citizens regarding the level of service they expected and required from the assessed government departments</w:t>
      </w:r>
      <w:r w:rsidR="00353068">
        <w:rPr>
          <w:rFonts w:ascii="Arial" w:hAnsi="Arial" w:cs="Arial"/>
          <w:sz w:val="24"/>
          <w:szCs w:val="24"/>
        </w:rPr>
        <w:t xml:space="preserve"> and municipalities.</w:t>
      </w:r>
      <w:r>
        <w:rPr>
          <w:rFonts w:ascii="Arial" w:hAnsi="Arial" w:cs="Arial"/>
          <w:sz w:val="24"/>
          <w:szCs w:val="24"/>
        </w:rPr>
        <w:t xml:space="preserve">. </w:t>
      </w:r>
    </w:p>
    <w:p w:rsidR="00382D04" w:rsidRDefault="00382D04" w:rsidP="00382D04">
      <w:pPr>
        <w:pStyle w:val="NoSpacing"/>
        <w:ind w:left="851" w:hanging="851"/>
        <w:rPr>
          <w:rFonts w:ascii="Arial" w:hAnsi="Arial" w:cs="Arial"/>
          <w:sz w:val="24"/>
          <w:szCs w:val="24"/>
        </w:rPr>
      </w:pPr>
    </w:p>
    <w:p w:rsidR="00D51119" w:rsidRDefault="00382D04" w:rsidP="00D20CAA">
      <w:pPr>
        <w:pStyle w:val="NoSpacing"/>
        <w:ind w:left="1440" w:hanging="720"/>
        <w:jc w:val="both"/>
        <w:rPr>
          <w:rFonts w:ascii="Arial" w:hAnsi="Arial" w:cs="Arial"/>
          <w:b/>
          <w:sz w:val="24"/>
          <w:szCs w:val="24"/>
          <w:u w:val="single"/>
        </w:rPr>
      </w:pPr>
      <w:r>
        <w:rPr>
          <w:rFonts w:ascii="Arial" w:hAnsi="Arial" w:cs="Arial"/>
          <w:sz w:val="24"/>
          <w:szCs w:val="24"/>
        </w:rPr>
        <w:t>(c)</w:t>
      </w:r>
      <w:r w:rsidR="00AB3721">
        <w:rPr>
          <w:rFonts w:ascii="Arial" w:hAnsi="Arial" w:cs="Arial"/>
          <w:sz w:val="24"/>
          <w:szCs w:val="24"/>
        </w:rPr>
        <w:t xml:space="preserve"> </w:t>
      </w:r>
      <w:r w:rsidR="00AB3721">
        <w:rPr>
          <w:rFonts w:ascii="Arial" w:hAnsi="Arial" w:cs="Arial"/>
          <w:sz w:val="24"/>
          <w:szCs w:val="24"/>
        </w:rPr>
        <w:tab/>
      </w:r>
      <w:r w:rsidR="00AC1378">
        <w:rPr>
          <w:rFonts w:ascii="Arial" w:hAnsi="Arial" w:cs="Arial"/>
          <w:sz w:val="24"/>
          <w:szCs w:val="24"/>
        </w:rPr>
        <w:t>A</w:t>
      </w:r>
      <w:r w:rsidR="00D20CAA">
        <w:rPr>
          <w:rFonts w:ascii="Arial" w:hAnsi="Arial" w:cs="Arial"/>
          <w:sz w:val="24"/>
          <w:szCs w:val="24"/>
        </w:rPr>
        <w:t>ction taken was</w:t>
      </w:r>
      <w:r w:rsidR="00AC1378">
        <w:rPr>
          <w:rFonts w:ascii="Arial" w:hAnsi="Arial" w:cs="Arial"/>
          <w:sz w:val="24"/>
          <w:szCs w:val="24"/>
        </w:rPr>
        <w:t xml:space="preserve"> the</w:t>
      </w:r>
      <w:r w:rsidR="00D20CAA">
        <w:rPr>
          <w:rFonts w:ascii="Arial" w:hAnsi="Arial" w:cs="Arial"/>
          <w:sz w:val="24"/>
          <w:szCs w:val="24"/>
        </w:rPr>
        <w:t xml:space="preserve"> </w:t>
      </w:r>
      <w:r w:rsidR="00AB3721">
        <w:rPr>
          <w:rFonts w:ascii="Arial" w:hAnsi="Arial" w:cs="Arial"/>
          <w:sz w:val="24"/>
          <w:szCs w:val="24"/>
        </w:rPr>
        <w:t>develop</w:t>
      </w:r>
      <w:r w:rsidR="00D20CAA">
        <w:rPr>
          <w:rFonts w:ascii="Arial" w:hAnsi="Arial" w:cs="Arial"/>
          <w:sz w:val="24"/>
          <w:szCs w:val="24"/>
        </w:rPr>
        <w:t>ment of</w:t>
      </w:r>
      <w:r w:rsidR="00AB3721">
        <w:rPr>
          <w:rFonts w:ascii="Arial" w:hAnsi="Arial" w:cs="Arial"/>
          <w:sz w:val="24"/>
          <w:szCs w:val="24"/>
        </w:rPr>
        <w:t xml:space="preserve"> Service Delivery I</w:t>
      </w:r>
      <w:r>
        <w:rPr>
          <w:rFonts w:ascii="Arial" w:hAnsi="Arial" w:cs="Arial"/>
          <w:sz w:val="24"/>
          <w:szCs w:val="24"/>
        </w:rPr>
        <w:t xml:space="preserve">mprovement </w:t>
      </w:r>
      <w:r w:rsidR="00AB3721">
        <w:rPr>
          <w:rFonts w:ascii="Arial" w:hAnsi="Arial" w:cs="Arial"/>
          <w:sz w:val="24"/>
          <w:szCs w:val="24"/>
        </w:rPr>
        <w:t>P</w:t>
      </w:r>
      <w:r w:rsidR="00D20CAA">
        <w:rPr>
          <w:rFonts w:ascii="Arial" w:hAnsi="Arial" w:cs="Arial"/>
          <w:sz w:val="24"/>
          <w:szCs w:val="24"/>
        </w:rPr>
        <w:t>lans</w:t>
      </w:r>
      <w:r w:rsidR="00AC1378">
        <w:rPr>
          <w:rFonts w:ascii="Arial" w:hAnsi="Arial" w:cs="Arial"/>
          <w:sz w:val="24"/>
          <w:szCs w:val="24"/>
        </w:rPr>
        <w:t>,</w:t>
      </w:r>
      <w:r w:rsidR="00D20CAA">
        <w:rPr>
          <w:rFonts w:ascii="Arial" w:hAnsi="Arial" w:cs="Arial"/>
          <w:sz w:val="24"/>
          <w:szCs w:val="24"/>
        </w:rPr>
        <w:t xml:space="preserve"> which entail</w:t>
      </w:r>
      <w:r>
        <w:rPr>
          <w:rFonts w:ascii="Arial" w:hAnsi="Arial" w:cs="Arial"/>
          <w:sz w:val="24"/>
          <w:szCs w:val="24"/>
        </w:rPr>
        <w:t xml:space="preserve"> interventions to improve performance.  </w:t>
      </w:r>
    </w:p>
    <w:p w:rsidR="00013B05" w:rsidRDefault="00013B05" w:rsidP="004B1243">
      <w:pPr>
        <w:pStyle w:val="NoSpacing"/>
        <w:rPr>
          <w:rFonts w:ascii="Arial" w:hAnsi="Arial" w:cs="Arial"/>
          <w:b/>
          <w:sz w:val="24"/>
          <w:szCs w:val="24"/>
          <w:u w:val="single"/>
        </w:rPr>
      </w:pPr>
    </w:p>
    <w:sectPr w:rsidR="00013B05" w:rsidSect="003028D3">
      <w:footerReference w:type="default" r:id="rId12"/>
      <w:headerReference w:type="first" r:id="rId13"/>
      <w:footerReference w:type="first" r:id="rId14"/>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09E" w:rsidRDefault="00E8109E">
      <w:r>
        <w:separator/>
      </w:r>
    </w:p>
  </w:endnote>
  <w:endnote w:type="continuationSeparator" w:id="0">
    <w:p w:rsidR="00E8109E" w:rsidRDefault="00E8109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2B" w:rsidRPr="0039423E" w:rsidRDefault="0072142B" w:rsidP="0072142B">
    <w:pPr>
      <w:pStyle w:val="Footer"/>
      <w:jc w:val="both"/>
      <w:rPr>
        <w:rFonts w:ascii="Arial" w:hAnsi="Arial" w:cs="Arial"/>
        <w:color w:val="808080"/>
        <w:sz w:val="22"/>
        <w:szCs w:val="22"/>
      </w:rPr>
    </w:pPr>
  </w:p>
  <w:p w:rsidR="00447650" w:rsidRPr="00577EA4" w:rsidRDefault="00447650" w:rsidP="00447650">
    <w:pPr>
      <w:pStyle w:val="Footer"/>
      <w:jc w:val="both"/>
      <w:rPr>
        <w:rFonts w:ascii="Arial" w:hAnsi="Arial" w:cs="Arial"/>
        <w:b/>
        <w:color w:val="808080"/>
        <w:sz w:val="22"/>
        <w:szCs w:val="22"/>
      </w:rPr>
    </w:pPr>
  </w:p>
  <w:p w:rsidR="00111E45" w:rsidRPr="00853808" w:rsidRDefault="00111E45" w:rsidP="00945680">
    <w:pPr>
      <w:pStyle w:val="Footer"/>
      <w:tabs>
        <w:tab w:val="clear" w:pos="4513"/>
        <w:tab w:val="clear" w:pos="9026"/>
        <w:tab w:val="left" w:pos="3057"/>
      </w:tabs>
      <w:jc w:val="both"/>
      <w:rPr>
        <w:rFonts w:ascii="Arial" w:hAnsi="Arial" w:cs="Arial"/>
        <w:color w:val="80808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F015EB" w:rsidRDefault="0066183B" w:rsidP="00F015EB">
    <w:pPr>
      <w:pStyle w:val="Footer"/>
    </w:pPr>
    <w:r w:rsidRPr="00F015E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09E" w:rsidRDefault="00E8109E">
      <w:r>
        <w:separator/>
      </w:r>
    </w:p>
  </w:footnote>
  <w:footnote w:type="continuationSeparator" w:id="0">
    <w:p w:rsidR="00E8109E" w:rsidRDefault="00E81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F75190"/>
    <w:multiLevelType w:val="hybridMultilevel"/>
    <w:tmpl w:val="77F20B5A"/>
    <w:lvl w:ilvl="0" w:tplc="1C090001">
      <w:start w:val="1"/>
      <w:numFmt w:val="bullet"/>
      <w:lvlText w:val=""/>
      <w:lvlJc w:val="left"/>
      <w:pPr>
        <w:ind w:left="6840" w:hanging="360"/>
      </w:pPr>
      <w:rPr>
        <w:rFonts w:ascii="Symbol" w:hAnsi="Symbol" w:hint="default"/>
      </w:rPr>
    </w:lvl>
    <w:lvl w:ilvl="1" w:tplc="1C090003" w:tentative="1">
      <w:start w:val="1"/>
      <w:numFmt w:val="bullet"/>
      <w:lvlText w:val="o"/>
      <w:lvlJc w:val="left"/>
      <w:pPr>
        <w:ind w:left="7560" w:hanging="360"/>
      </w:pPr>
      <w:rPr>
        <w:rFonts w:ascii="Courier New" w:hAnsi="Courier New" w:cs="Courier New" w:hint="default"/>
      </w:rPr>
    </w:lvl>
    <w:lvl w:ilvl="2" w:tplc="1C090005" w:tentative="1">
      <w:start w:val="1"/>
      <w:numFmt w:val="bullet"/>
      <w:lvlText w:val=""/>
      <w:lvlJc w:val="left"/>
      <w:pPr>
        <w:ind w:left="8280" w:hanging="360"/>
      </w:pPr>
      <w:rPr>
        <w:rFonts w:ascii="Wingdings" w:hAnsi="Wingdings" w:hint="default"/>
      </w:rPr>
    </w:lvl>
    <w:lvl w:ilvl="3" w:tplc="1C090001" w:tentative="1">
      <w:start w:val="1"/>
      <w:numFmt w:val="bullet"/>
      <w:lvlText w:val=""/>
      <w:lvlJc w:val="left"/>
      <w:pPr>
        <w:ind w:left="9000" w:hanging="360"/>
      </w:pPr>
      <w:rPr>
        <w:rFonts w:ascii="Symbol" w:hAnsi="Symbol" w:hint="default"/>
      </w:rPr>
    </w:lvl>
    <w:lvl w:ilvl="4" w:tplc="1C090003" w:tentative="1">
      <w:start w:val="1"/>
      <w:numFmt w:val="bullet"/>
      <w:lvlText w:val="o"/>
      <w:lvlJc w:val="left"/>
      <w:pPr>
        <w:ind w:left="9720" w:hanging="360"/>
      </w:pPr>
      <w:rPr>
        <w:rFonts w:ascii="Courier New" w:hAnsi="Courier New" w:cs="Courier New" w:hint="default"/>
      </w:rPr>
    </w:lvl>
    <w:lvl w:ilvl="5" w:tplc="1C090005" w:tentative="1">
      <w:start w:val="1"/>
      <w:numFmt w:val="bullet"/>
      <w:lvlText w:val=""/>
      <w:lvlJc w:val="left"/>
      <w:pPr>
        <w:ind w:left="10440" w:hanging="360"/>
      </w:pPr>
      <w:rPr>
        <w:rFonts w:ascii="Wingdings" w:hAnsi="Wingdings" w:hint="default"/>
      </w:rPr>
    </w:lvl>
    <w:lvl w:ilvl="6" w:tplc="1C090001" w:tentative="1">
      <w:start w:val="1"/>
      <w:numFmt w:val="bullet"/>
      <w:lvlText w:val=""/>
      <w:lvlJc w:val="left"/>
      <w:pPr>
        <w:ind w:left="11160" w:hanging="360"/>
      </w:pPr>
      <w:rPr>
        <w:rFonts w:ascii="Symbol" w:hAnsi="Symbol" w:hint="default"/>
      </w:rPr>
    </w:lvl>
    <w:lvl w:ilvl="7" w:tplc="1C090003" w:tentative="1">
      <w:start w:val="1"/>
      <w:numFmt w:val="bullet"/>
      <w:lvlText w:val="o"/>
      <w:lvlJc w:val="left"/>
      <w:pPr>
        <w:ind w:left="11880" w:hanging="360"/>
      </w:pPr>
      <w:rPr>
        <w:rFonts w:ascii="Courier New" w:hAnsi="Courier New" w:cs="Courier New" w:hint="default"/>
      </w:rPr>
    </w:lvl>
    <w:lvl w:ilvl="8" w:tplc="1C090005" w:tentative="1">
      <w:start w:val="1"/>
      <w:numFmt w:val="bullet"/>
      <w:lvlText w:val=""/>
      <w:lvlJc w:val="left"/>
      <w:pPr>
        <w:ind w:left="12600" w:hanging="360"/>
      </w:pPr>
      <w:rPr>
        <w:rFonts w:ascii="Wingdings" w:hAnsi="Wingdings" w:hint="default"/>
      </w:rPr>
    </w:lvl>
  </w:abstractNum>
  <w:abstractNum w:abstractNumId="4">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7962E22"/>
    <w:multiLevelType w:val="hybridMultilevel"/>
    <w:tmpl w:val="51FCB6FA"/>
    <w:lvl w:ilvl="0" w:tplc="F692C3BA">
      <w:start w:val="1"/>
      <w:numFmt w:val="decimal"/>
      <w:lvlText w:val="(%1)"/>
      <w:lvlJc w:val="left"/>
      <w:pPr>
        <w:ind w:left="17460" w:hanging="360"/>
      </w:pPr>
      <w:rPr>
        <w:rFonts w:hint="default"/>
      </w:rPr>
    </w:lvl>
    <w:lvl w:ilvl="1" w:tplc="1C090019" w:tentative="1">
      <w:start w:val="1"/>
      <w:numFmt w:val="lowerLetter"/>
      <w:lvlText w:val="%2."/>
      <w:lvlJc w:val="left"/>
      <w:pPr>
        <w:ind w:left="18180" w:hanging="360"/>
      </w:pPr>
    </w:lvl>
    <w:lvl w:ilvl="2" w:tplc="1C09001B" w:tentative="1">
      <w:start w:val="1"/>
      <w:numFmt w:val="lowerRoman"/>
      <w:lvlText w:val="%3."/>
      <w:lvlJc w:val="right"/>
      <w:pPr>
        <w:ind w:left="18900" w:hanging="180"/>
      </w:pPr>
    </w:lvl>
    <w:lvl w:ilvl="3" w:tplc="1C09000F" w:tentative="1">
      <w:start w:val="1"/>
      <w:numFmt w:val="decimal"/>
      <w:lvlText w:val="%4."/>
      <w:lvlJc w:val="left"/>
      <w:pPr>
        <w:ind w:left="19620" w:hanging="360"/>
      </w:pPr>
    </w:lvl>
    <w:lvl w:ilvl="4" w:tplc="1C090019" w:tentative="1">
      <w:start w:val="1"/>
      <w:numFmt w:val="lowerLetter"/>
      <w:lvlText w:val="%5."/>
      <w:lvlJc w:val="left"/>
      <w:pPr>
        <w:ind w:left="20340" w:hanging="360"/>
      </w:pPr>
    </w:lvl>
    <w:lvl w:ilvl="5" w:tplc="1C09001B" w:tentative="1">
      <w:start w:val="1"/>
      <w:numFmt w:val="lowerRoman"/>
      <w:lvlText w:val="%6."/>
      <w:lvlJc w:val="right"/>
      <w:pPr>
        <w:ind w:left="21060" w:hanging="180"/>
      </w:pPr>
    </w:lvl>
    <w:lvl w:ilvl="6" w:tplc="1C09000F" w:tentative="1">
      <w:start w:val="1"/>
      <w:numFmt w:val="decimal"/>
      <w:lvlText w:val="%7."/>
      <w:lvlJc w:val="left"/>
      <w:pPr>
        <w:ind w:left="21780" w:hanging="360"/>
      </w:pPr>
    </w:lvl>
    <w:lvl w:ilvl="7" w:tplc="1C090019" w:tentative="1">
      <w:start w:val="1"/>
      <w:numFmt w:val="lowerLetter"/>
      <w:lvlText w:val="%8."/>
      <w:lvlJc w:val="left"/>
      <w:pPr>
        <w:ind w:left="22500" w:hanging="360"/>
      </w:pPr>
    </w:lvl>
    <w:lvl w:ilvl="8" w:tplc="1C09001B" w:tentative="1">
      <w:start w:val="1"/>
      <w:numFmt w:val="lowerRoman"/>
      <w:lvlText w:val="%9."/>
      <w:lvlJc w:val="right"/>
      <w:pPr>
        <w:ind w:left="23220" w:hanging="180"/>
      </w:pPr>
    </w:lvl>
  </w:abstractNum>
  <w:abstractNum w:abstractNumId="7">
    <w:nsid w:val="43BF4AC0"/>
    <w:multiLevelType w:val="hybridMultilevel"/>
    <w:tmpl w:val="BFACD2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5FAB766D"/>
    <w:multiLevelType w:val="hybridMultilevel"/>
    <w:tmpl w:val="04209B66"/>
    <w:lvl w:ilvl="0" w:tplc="1C090001">
      <w:start w:val="1"/>
      <w:numFmt w:val="bullet"/>
      <w:lvlText w:val=""/>
      <w:lvlJc w:val="left"/>
      <w:pPr>
        <w:ind w:left="3960" w:hanging="360"/>
      </w:pPr>
      <w:rPr>
        <w:rFonts w:ascii="Symbol" w:hAnsi="Symbol" w:hint="default"/>
      </w:rPr>
    </w:lvl>
    <w:lvl w:ilvl="1" w:tplc="1C090003" w:tentative="1">
      <w:start w:val="1"/>
      <w:numFmt w:val="bullet"/>
      <w:lvlText w:val="o"/>
      <w:lvlJc w:val="left"/>
      <w:pPr>
        <w:ind w:left="4680" w:hanging="360"/>
      </w:pPr>
      <w:rPr>
        <w:rFonts w:ascii="Courier New" w:hAnsi="Courier New" w:cs="Courier New" w:hint="default"/>
      </w:rPr>
    </w:lvl>
    <w:lvl w:ilvl="2" w:tplc="1C090005" w:tentative="1">
      <w:start w:val="1"/>
      <w:numFmt w:val="bullet"/>
      <w:lvlText w:val=""/>
      <w:lvlJc w:val="left"/>
      <w:pPr>
        <w:ind w:left="5400" w:hanging="360"/>
      </w:pPr>
      <w:rPr>
        <w:rFonts w:ascii="Wingdings" w:hAnsi="Wingdings" w:hint="default"/>
      </w:rPr>
    </w:lvl>
    <w:lvl w:ilvl="3" w:tplc="1C090001" w:tentative="1">
      <w:start w:val="1"/>
      <w:numFmt w:val="bullet"/>
      <w:lvlText w:val=""/>
      <w:lvlJc w:val="left"/>
      <w:pPr>
        <w:ind w:left="6120" w:hanging="360"/>
      </w:pPr>
      <w:rPr>
        <w:rFonts w:ascii="Symbol" w:hAnsi="Symbol" w:hint="default"/>
      </w:rPr>
    </w:lvl>
    <w:lvl w:ilvl="4" w:tplc="1C090003" w:tentative="1">
      <w:start w:val="1"/>
      <w:numFmt w:val="bullet"/>
      <w:lvlText w:val="o"/>
      <w:lvlJc w:val="left"/>
      <w:pPr>
        <w:ind w:left="6840" w:hanging="360"/>
      </w:pPr>
      <w:rPr>
        <w:rFonts w:ascii="Courier New" w:hAnsi="Courier New" w:cs="Courier New" w:hint="default"/>
      </w:rPr>
    </w:lvl>
    <w:lvl w:ilvl="5" w:tplc="1C090005" w:tentative="1">
      <w:start w:val="1"/>
      <w:numFmt w:val="bullet"/>
      <w:lvlText w:val=""/>
      <w:lvlJc w:val="left"/>
      <w:pPr>
        <w:ind w:left="7560" w:hanging="360"/>
      </w:pPr>
      <w:rPr>
        <w:rFonts w:ascii="Wingdings" w:hAnsi="Wingdings" w:hint="default"/>
      </w:rPr>
    </w:lvl>
    <w:lvl w:ilvl="6" w:tplc="1C090001" w:tentative="1">
      <w:start w:val="1"/>
      <w:numFmt w:val="bullet"/>
      <w:lvlText w:val=""/>
      <w:lvlJc w:val="left"/>
      <w:pPr>
        <w:ind w:left="8280" w:hanging="360"/>
      </w:pPr>
      <w:rPr>
        <w:rFonts w:ascii="Symbol" w:hAnsi="Symbol" w:hint="default"/>
      </w:rPr>
    </w:lvl>
    <w:lvl w:ilvl="7" w:tplc="1C090003" w:tentative="1">
      <w:start w:val="1"/>
      <w:numFmt w:val="bullet"/>
      <w:lvlText w:val="o"/>
      <w:lvlJc w:val="left"/>
      <w:pPr>
        <w:ind w:left="9000" w:hanging="360"/>
      </w:pPr>
      <w:rPr>
        <w:rFonts w:ascii="Courier New" w:hAnsi="Courier New" w:cs="Courier New" w:hint="default"/>
      </w:rPr>
    </w:lvl>
    <w:lvl w:ilvl="8" w:tplc="1C090005" w:tentative="1">
      <w:start w:val="1"/>
      <w:numFmt w:val="bullet"/>
      <w:lvlText w:val=""/>
      <w:lvlJc w:val="left"/>
      <w:pPr>
        <w:ind w:left="9720" w:hanging="360"/>
      </w:pPr>
      <w:rPr>
        <w:rFonts w:ascii="Wingdings" w:hAnsi="Wingdings" w:hint="default"/>
      </w:rPr>
    </w:lvl>
  </w:abstractNum>
  <w:abstractNum w:abstractNumId="9">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9"/>
  </w:num>
  <w:num w:numId="5">
    <w:abstractNumId w:val="1"/>
  </w:num>
  <w:num w:numId="6">
    <w:abstractNumId w:val="2"/>
  </w:num>
  <w:num w:numId="7">
    <w:abstractNumId w:val="6"/>
  </w:num>
  <w:num w:numId="8">
    <w:abstractNumId w:val="3"/>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025A8"/>
    <w:rsid w:val="00013B05"/>
    <w:rsid w:val="00020CAF"/>
    <w:rsid w:val="000367D4"/>
    <w:rsid w:val="00042AC0"/>
    <w:rsid w:val="000800E0"/>
    <w:rsid w:val="00090BB5"/>
    <w:rsid w:val="00091605"/>
    <w:rsid w:val="000A4CD1"/>
    <w:rsid w:val="000B0949"/>
    <w:rsid w:val="000C5477"/>
    <w:rsid w:val="000F2F1D"/>
    <w:rsid w:val="000F7628"/>
    <w:rsid w:val="00100F6B"/>
    <w:rsid w:val="00105C50"/>
    <w:rsid w:val="00110D4F"/>
    <w:rsid w:val="00111C9D"/>
    <w:rsid w:val="00111E45"/>
    <w:rsid w:val="00111EDA"/>
    <w:rsid w:val="001147C9"/>
    <w:rsid w:val="00146236"/>
    <w:rsid w:val="001520C6"/>
    <w:rsid w:val="001605C8"/>
    <w:rsid w:val="00175B41"/>
    <w:rsid w:val="00182ABC"/>
    <w:rsid w:val="00186AD6"/>
    <w:rsid w:val="00191C29"/>
    <w:rsid w:val="001B4953"/>
    <w:rsid w:val="001B7A14"/>
    <w:rsid w:val="001B7FDD"/>
    <w:rsid w:val="001C1511"/>
    <w:rsid w:val="001C16B3"/>
    <w:rsid w:val="001F2064"/>
    <w:rsid w:val="001F38B6"/>
    <w:rsid w:val="001F4111"/>
    <w:rsid w:val="001F7080"/>
    <w:rsid w:val="002110CD"/>
    <w:rsid w:val="00223CE7"/>
    <w:rsid w:val="00230330"/>
    <w:rsid w:val="00243AE3"/>
    <w:rsid w:val="002441DB"/>
    <w:rsid w:val="00273458"/>
    <w:rsid w:val="00273D81"/>
    <w:rsid w:val="00275894"/>
    <w:rsid w:val="0028475F"/>
    <w:rsid w:val="00285C47"/>
    <w:rsid w:val="00290529"/>
    <w:rsid w:val="002A06C8"/>
    <w:rsid w:val="002C432E"/>
    <w:rsid w:val="002D31E7"/>
    <w:rsid w:val="002E0EE8"/>
    <w:rsid w:val="002E7AA8"/>
    <w:rsid w:val="002F75AA"/>
    <w:rsid w:val="003028D3"/>
    <w:rsid w:val="00320C0C"/>
    <w:rsid w:val="00333EED"/>
    <w:rsid w:val="003343BC"/>
    <w:rsid w:val="00340C82"/>
    <w:rsid w:val="003439B4"/>
    <w:rsid w:val="00346749"/>
    <w:rsid w:val="00347EC3"/>
    <w:rsid w:val="00353068"/>
    <w:rsid w:val="00355A09"/>
    <w:rsid w:val="00362E1C"/>
    <w:rsid w:val="00373602"/>
    <w:rsid w:val="0038183B"/>
    <w:rsid w:val="00382D04"/>
    <w:rsid w:val="0039218B"/>
    <w:rsid w:val="0039423E"/>
    <w:rsid w:val="003A33F5"/>
    <w:rsid w:val="003B0723"/>
    <w:rsid w:val="003B727B"/>
    <w:rsid w:val="003C35D3"/>
    <w:rsid w:val="003D4541"/>
    <w:rsid w:val="003E2A0B"/>
    <w:rsid w:val="004032CD"/>
    <w:rsid w:val="00410A00"/>
    <w:rsid w:val="00417319"/>
    <w:rsid w:val="00422DFC"/>
    <w:rsid w:val="00424CEF"/>
    <w:rsid w:val="0042667A"/>
    <w:rsid w:val="00435FEA"/>
    <w:rsid w:val="00447650"/>
    <w:rsid w:val="0045003C"/>
    <w:rsid w:val="00476121"/>
    <w:rsid w:val="004B1243"/>
    <w:rsid w:val="004B1BEF"/>
    <w:rsid w:val="004B61E6"/>
    <w:rsid w:val="004C490F"/>
    <w:rsid w:val="004C67A3"/>
    <w:rsid w:val="004D2B26"/>
    <w:rsid w:val="004F1A9B"/>
    <w:rsid w:val="004F32B5"/>
    <w:rsid w:val="0051373D"/>
    <w:rsid w:val="00513DAE"/>
    <w:rsid w:val="00514FC4"/>
    <w:rsid w:val="00521A43"/>
    <w:rsid w:val="00536A20"/>
    <w:rsid w:val="005450F6"/>
    <w:rsid w:val="005516B6"/>
    <w:rsid w:val="00577EA4"/>
    <w:rsid w:val="005837F0"/>
    <w:rsid w:val="005912D7"/>
    <w:rsid w:val="00591B49"/>
    <w:rsid w:val="00593E40"/>
    <w:rsid w:val="005975FE"/>
    <w:rsid w:val="005B0C33"/>
    <w:rsid w:val="005C7AFF"/>
    <w:rsid w:val="005D1865"/>
    <w:rsid w:val="005D5448"/>
    <w:rsid w:val="005F1512"/>
    <w:rsid w:val="006163C2"/>
    <w:rsid w:val="0061719E"/>
    <w:rsid w:val="00617849"/>
    <w:rsid w:val="00621486"/>
    <w:rsid w:val="00624502"/>
    <w:rsid w:val="00625B6A"/>
    <w:rsid w:val="00630AE3"/>
    <w:rsid w:val="0066183B"/>
    <w:rsid w:val="0066412A"/>
    <w:rsid w:val="00677E0F"/>
    <w:rsid w:val="00681948"/>
    <w:rsid w:val="0068688C"/>
    <w:rsid w:val="00694661"/>
    <w:rsid w:val="006966E1"/>
    <w:rsid w:val="0069688A"/>
    <w:rsid w:val="006B2E97"/>
    <w:rsid w:val="006B4F8A"/>
    <w:rsid w:val="006C4AAB"/>
    <w:rsid w:val="006D7A1E"/>
    <w:rsid w:val="006D7E05"/>
    <w:rsid w:val="006F0B6A"/>
    <w:rsid w:val="006F1369"/>
    <w:rsid w:val="0071348D"/>
    <w:rsid w:val="007201AD"/>
    <w:rsid w:val="0072142B"/>
    <w:rsid w:val="00741C9B"/>
    <w:rsid w:val="00752934"/>
    <w:rsid w:val="00752D6F"/>
    <w:rsid w:val="007777AE"/>
    <w:rsid w:val="00781479"/>
    <w:rsid w:val="007816EA"/>
    <w:rsid w:val="007853B3"/>
    <w:rsid w:val="00794504"/>
    <w:rsid w:val="007A3BFD"/>
    <w:rsid w:val="007A3CF9"/>
    <w:rsid w:val="007B2270"/>
    <w:rsid w:val="007B2B03"/>
    <w:rsid w:val="007C6706"/>
    <w:rsid w:val="007F54C1"/>
    <w:rsid w:val="00800C44"/>
    <w:rsid w:val="00811AA5"/>
    <w:rsid w:val="008123E9"/>
    <w:rsid w:val="00817D09"/>
    <w:rsid w:val="00825A9B"/>
    <w:rsid w:val="00827B3F"/>
    <w:rsid w:val="008312F6"/>
    <w:rsid w:val="00851106"/>
    <w:rsid w:val="00853808"/>
    <w:rsid w:val="00861AE2"/>
    <w:rsid w:val="008662B7"/>
    <w:rsid w:val="00877C40"/>
    <w:rsid w:val="00893B43"/>
    <w:rsid w:val="008A593D"/>
    <w:rsid w:val="008A60EC"/>
    <w:rsid w:val="008B2338"/>
    <w:rsid w:val="008B39C7"/>
    <w:rsid w:val="008C284A"/>
    <w:rsid w:val="008D12CF"/>
    <w:rsid w:val="008E42C8"/>
    <w:rsid w:val="008E4ECE"/>
    <w:rsid w:val="008E5FF5"/>
    <w:rsid w:val="008F29A1"/>
    <w:rsid w:val="00906716"/>
    <w:rsid w:val="009073FC"/>
    <w:rsid w:val="00911877"/>
    <w:rsid w:val="009148C5"/>
    <w:rsid w:val="009410F4"/>
    <w:rsid w:val="00945680"/>
    <w:rsid w:val="009525D8"/>
    <w:rsid w:val="00960CFF"/>
    <w:rsid w:val="00961D75"/>
    <w:rsid w:val="0096273C"/>
    <w:rsid w:val="00993FD3"/>
    <w:rsid w:val="009B3894"/>
    <w:rsid w:val="009B42E4"/>
    <w:rsid w:val="009B631D"/>
    <w:rsid w:val="00A0326A"/>
    <w:rsid w:val="00A10C05"/>
    <w:rsid w:val="00A12586"/>
    <w:rsid w:val="00A13DF9"/>
    <w:rsid w:val="00A14834"/>
    <w:rsid w:val="00A35A9D"/>
    <w:rsid w:val="00A400B3"/>
    <w:rsid w:val="00A430B6"/>
    <w:rsid w:val="00A62CD4"/>
    <w:rsid w:val="00A64AA5"/>
    <w:rsid w:val="00A727DC"/>
    <w:rsid w:val="00AA65D6"/>
    <w:rsid w:val="00AA777C"/>
    <w:rsid w:val="00AA7AA3"/>
    <w:rsid w:val="00AB3721"/>
    <w:rsid w:val="00AC1378"/>
    <w:rsid w:val="00AE1A6B"/>
    <w:rsid w:val="00B13267"/>
    <w:rsid w:val="00B3002A"/>
    <w:rsid w:val="00B31933"/>
    <w:rsid w:val="00B366BD"/>
    <w:rsid w:val="00B66676"/>
    <w:rsid w:val="00B70EE5"/>
    <w:rsid w:val="00B81207"/>
    <w:rsid w:val="00B91F44"/>
    <w:rsid w:val="00BA1F25"/>
    <w:rsid w:val="00BA7B88"/>
    <w:rsid w:val="00BB783D"/>
    <w:rsid w:val="00BC69E2"/>
    <w:rsid w:val="00BD1ADA"/>
    <w:rsid w:val="00BD33FC"/>
    <w:rsid w:val="00BD47E1"/>
    <w:rsid w:val="00BE14EA"/>
    <w:rsid w:val="00C007DD"/>
    <w:rsid w:val="00C27D2F"/>
    <w:rsid w:val="00C700D7"/>
    <w:rsid w:val="00CB3FA3"/>
    <w:rsid w:val="00CB53A4"/>
    <w:rsid w:val="00CB5A7E"/>
    <w:rsid w:val="00CC0E45"/>
    <w:rsid w:val="00CC2D1A"/>
    <w:rsid w:val="00CF40C2"/>
    <w:rsid w:val="00CF4CF3"/>
    <w:rsid w:val="00D20CAA"/>
    <w:rsid w:val="00D24D11"/>
    <w:rsid w:val="00D27283"/>
    <w:rsid w:val="00D27D47"/>
    <w:rsid w:val="00D30C68"/>
    <w:rsid w:val="00D51119"/>
    <w:rsid w:val="00D55998"/>
    <w:rsid w:val="00D66467"/>
    <w:rsid w:val="00D85EEC"/>
    <w:rsid w:val="00DA40A7"/>
    <w:rsid w:val="00DB341B"/>
    <w:rsid w:val="00DD1A8D"/>
    <w:rsid w:val="00DD1BD0"/>
    <w:rsid w:val="00DD515B"/>
    <w:rsid w:val="00DD708B"/>
    <w:rsid w:val="00DE6E86"/>
    <w:rsid w:val="00DF1F78"/>
    <w:rsid w:val="00DF7F34"/>
    <w:rsid w:val="00E05FEB"/>
    <w:rsid w:val="00E168C9"/>
    <w:rsid w:val="00E16B22"/>
    <w:rsid w:val="00E25438"/>
    <w:rsid w:val="00E26E52"/>
    <w:rsid w:val="00E52271"/>
    <w:rsid w:val="00E5526B"/>
    <w:rsid w:val="00E57513"/>
    <w:rsid w:val="00E72CF9"/>
    <w:rsid w:val="00E8109E"/>
    <w:rsid w:val="00EA4FD5"/>
    <w:rsid w:val="00EB073A"/>
    <w:rsid w:val="00EB47E2"/>
    <w:rsid w:val="00EC513A"/>
    <w:rsid w:val="00EE37BE"/>
    <w:rsid w:val="00EE3D01"/>
    <w:rsid w:val="00EF2196"/>
    <w:rsid w:val="00EF6692"/>
    <w:rsid w:val="00F015EB"/>
    <w:rsid w:val="00F0191A"/>
    <w:rsid w:val="00F139C0"/>
    <w:rsid w:val="00F21DC6"/>
    <w:rsid w:val="00F24F08"/>
    <w:rsid w:val="00F328A7"/>
    <w:rsid w:val="00F42909"/>
    <w:rsid w:val="00F43C45"/>
    <w:rsid w:val="00F45438"/>
    <w:rsid w:val="00F50354"/>
    <w:rsid w:val="00F610BE"/>
    <w:rsid w:val="00F752DD"/>
    <w:rsid w:val="00F77A0D"/>
    <w:rsid w:val="00F92F09"/>
    <w:rsid w:val="00FB035E"/>
    <w:rsid w:val="00FB4973"/>
    <w:rsid w:val="00FB6D20"/>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66676"/>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2015-12-05T15:32:00Z</cp:lastPrinted>
  <dcterms:created xsi:type="dcterms:W3CDTF">2015-12-10T09:25:00Z</dcterms:created>
  <dcterms:modified xsi:type="dcterms:W3CDTF">2015-12-10T09:25:00Z</dcterms:modified>
</cp:coreProperties>
</file>