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FB5AC1"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590925" cy="1209675"/>
            <wp:effectExtent l="19050" t="0" r="9525"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inline>
        </w:drawing>
      </w:r>
    </w:p>
    <w:p w:rsidR="00A64EAA" w:rsidRDefault="00A64EAA" w:rsidP="006B61FA">
      <w:pPr>
        <w:spacing w:after="0" w:line="320" w:lineRule="exact"/>
        <w:jc w:val="both"/>
        <w:rPr>
          <w:rFonts w:ascii="Arial Narrow" w:eastAsia="Times New Roman" w:hAnsi="Arial Narrow" w:cs="Arial"/>
          <w:b/>
          <w:bCs/>
          <w:sz w:val="24"/>
          <w:szCs w:val="24"/>
          <w:lang w:val="en-GB"/>
        </w:rPr>
      </w:pP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AF6773" w:rsidRPr="00AF6773" w:rsidRDefault="00AF6773" w:rsidP="00AF6773">
      <w:pPr>
        <w:spacing w:after="0" w:line="320" w:lineRule="exact"/>
        <w:jc w:val="both"/>
        <w:rPr>
          <w:rFonts w:ascii="Arial Narrow" w:eastAsia="Times New Roman" w:hAnsi="Arial Narrow" w:cs="Arial"/>
          <w:b/>
          <w:bCs/>
          <w:sz w:val="24"/>
          <w:szCs w:val="24"/>
          <w:lang w:val="en-GB"/>
        </w:rPr>
      </w:pPr>
      <w:r w:rsidRPr="00AF6773">
        <w:rPr>
          <w:rFonts w:ascii="Arial Narrow" w:eastAsia="Times New Roman" w:hAnsi="Arial Narrow" w:cs="Arial"/>
          <w:b/>
          <w:bCs/>
          <w:sz w:val="24"/>
          <w:szCs w:val="24"/>
          <w:lang w:val="en-GB"/>
        </w:rPr>
        <w:t>QUESTION FOR WRITTEN REPLY</w:t>
      </w:r>
    </w:p>
    <w:p w:rsidR="00AF6773" w:rsidRPr="00AF6773" w:rsidRDefault="00AF6773" w:rsidP="00AF6773">
      <w:pPr>
        <w:spacing w:after="0" w:line="320" w:lineRule="exact"/>
        <w:jc w:val="both"/>
        <w:rPr>
          <w:rFonts w:ascii="Arial Narrow" w:eastAsia="Times New Roman" w:hAnsi="Arial Narrow" w:cs="Arial"/>
          <w:b/>
          <w:bCs/>
          <w:sz w:val="24"/>
          <w:szCs w:val="24"/>
          <w:lang w:val="en-GB"/>
        </w:rPr>
      </w:pPr>
    </w:p>
    <w:p w:rsidR="00AF6773" w:rsidRPr="00AF6773" w:rsidRDefault="00AF6773" w:rsidP="00AF6773">
      <w:pPr>
        <w:keepNext/>
        <w:spacing w:after="0" w:line="320" w:lineRule="exact"/>
        <w:jc w:val="both"/>
        <w:outlineLvl w:val="0"/>
        <w:rPr>
          <w:rFonts w:ascii="Arial Narrow" w:eastAsia="Times New Roman" w:hAnsi="Arial Narrow" w:cs="Arial"/>
          <w:b/>
          <w:bCs/>
          <w:sz w:val="24"/>
          <w:szCs w:val="24"/>
          <w:lang w:val="en-GB"/>
        </w:rPr>
      </w:pPr>
      <w:r w:rsidRPr="00AF6773">
        <w:rPr>
          <w:rFonts w:ascii="Arial Narrow" w:eastAsia="Times New Roman" w:hAnsi="Arial Narrow" w:cs="Arial"/>
          <w:b/>
          <w:bCs/>
          <w:sz w:val="24"/>
          <w:szCs w:val="24"/>
          <w:lang w:val="en-GB"/>
        </w:rPr>
        <w:t>QUESTION NO. 4141</w:t>
      </w:r>
    </w:p>
    <w:p w:rsidR="00AF6773" w:rsidRPr="00AF6773" w:rsidRDefault="00AF6773" w:rsidP="00AF6773">
      <w:pPr>
        <w:spacing w:after="0" w:line="240" w:lineRule="auto"/>
        <w:rPr>
          <w:rFonts w:ascii="Arial Narrow" w:eastAsia="Times New Roman" w:hAnsi="Arial Narrow"/>
          <w:sz w:val="24"/>
          <w:szCs w:val="24"/>
          <w:lang w:val="en-GB"/>
        </w:rPr>
      </w:pPr>
    </w:p>
    <w:p w:rsidR="00AF6773" w:rsidRPr="00AF6773" w:rsidRDefault="00AF6773" w:rsidP="00AF6773">
      <w:pPr>
        <w:spacing w:after="0" w:line="320" w:lineRule="exact"/>
        <w:jc w:val="both"/>
        <w:rPr>
          <w:rFonts w:ascii="Arial Narrow" w:eastAsia="Times New Roman" w:hAnsi="Arial Narrow" w:cs="Arial"/>
          <w:b/>
          <w:bCs/>
          <w:sz w:val="24"/>
          <w:szCs w:val="24"/>
          <w:lang w:val="en-GB"/>
        </w:rPr>
      </w:pPr>
      <w:r w:rsidRPr="00AF6773">
        <w:rPr>
          <w:rFonts w:ascii="Arial Narrow" w:eastAsia="Times New Roman" w:hAnsi="Arial Narrow" w:cs="Arial"/>
          <w:b/>
          <w:bCs/>
          <w:sz w:val="24"/>
          <w:szCs w:val="24"/>
          <w:lang w:val="en-GB"/>
        </w:rPr>
        <w:t>DATE OF PUBLICATION: FRIDAY 4 NOVEMBER 2022</w:t>
      </w:r>
    </w:p>
    <w:p w:rsidR="00AF6773" w:rsidRPr="00AF6773" w:rsidRDefault="00AF6773" w:rsidP="00AF6773">
      <w:pPr>
        <w:spacing w:after="0" w:line="320" w:lineRule="exact"/>
        <w:jc w:val="both"/>
        <w:rPr>
          <w:rFonts w:ascii="Arial Narrow" w:eastAsia="Times New Roman" w:hAnsi="Arial Narrow" w:cs="Arial"/>
          <w:b/>
          <w:bCs/>
          <w:sz w:val="24"/>
          <w:szCs w:val="24"/>
          <w:lang w:val="en-GB"/>
        </w:rPr>
      </w:pPr>
    </w:p>
    <w:p w:rsidR="00AF6773" w:rsidRPr="00AF6773" w:rsidRDefault="00AF6773" w:rsidP="00AF6773">
      <w:pPr>
        <w:keepNext/>
        <w:spacing w:after="0" w:line="320" w:lineRule="exact"/>
        <w:jc w:val="both"/>
        <w:outlineLvl w:val="1"/>
        <w:rPr>
          <w:rFonts w:ascii="Arial Narrow" w:eastAsia="Times New Roman" w:hAnsi="Arial Narrow" w:cs="Arial"/>
          <w:b/>
          <w:bCs/>
          <w:sz w:val="24"/>
          <w:szCs w:val="24"/>
          <w:lang w:val="en-GB"/>
        </w:rPr>
      </w:pPr>
      <w:r w:rsidRPr="00AF6773">
        <w:rPr>
          <w:rFonts w:ascii="Arial Narrow" w:eastAsia="Times New Roman" w:hAnsi="Arial Narrow" w:cs="Arial"/>
          <w:b/>
          <w:bCs/>
          <w:sz w:val="24"/>
          <w:szCs w:val="24"/>
          <w:lang w:val="en-GB"/>
        </w:rPr>
        <w:t>INTERNAL QUESTION PAPER 44 – 2022</w:t>
      </w:r>
    </w:p>
    <w:p w:rsidR="00AF6773" w:rsidRPr="00AF6773" w:rsidRDefault="00AF6773" w:rsidP="00AF6773">
      <w:pPr>
        <w:spacing w:after="0" w:line="240" w:lineRule="auto"/>
        <w:rPr>
          <w:rFonts w:ascii="Arial Narrow" w:eastAsia="Times New Roman" w:hAnsi="Arial Narrow"/>
          <w:sz w:val="24"/>
          <w:szCs w:val="24"/>
          <w:lang w:val="en-GB"/>
        </w:rPr>
      </w:pPr>
    </w:p>
    <w:p w:rsidR="00AF6773" w:rsidRPr="00AF6773" w:rsidRDefault="00AF6773" w:rsidP="00AF6773">
      <w:pPr>
        <w:tabs>
          <w:tab w:val="left" w:pos="0"/>
        </w:tabs>
        <w:spacing w:before="100" w:beforeAutospacing="1" w:after="100" w:afterAutospacing="1" w:line="320" w:lineRule="atLeast"/>
        <w:ind w:left="709" w:hanging="709"/>
        <w:jc w:val="both"/>
        <w:outlineLvl w:val="0"/>
        <w:rPr>
          <w:rFonts w:ascii="Arial" w:hAnsi="Arial" w:cs="Arial"/>
          <w:b/>
          <w:sz w:val="24"/>
          <w:szCs w:val="24"/>
          <w:lang w:val="en-GB"/>
        </w:rPr>
      </w:pPr>
      <w:r w:rsidRPr="00AF6773">
        <w:rPr>
          <w:rFonts w:ascii="Arial" w:hAnsi="Arial" w:cs="Arial"/>
          <w:b/>
          <w:sz w:val="24"/>
          <w:szCs w:val="24"/>
          <w:lang w:val="en-GB"/>
        </w:rPr>
        <w:t>4141.</w:t>
      </w:r>
      <w:r w:rsidRPr="00AF6773">
        <w:rPr>
          <w:rFonts w:ascii="Arial" w:hAnsi="Arial" w:cs="Arial"/>
          <w:b/>
          <w:sz w:val="24"/>
          <w:szCs w:val="24"/>
          <w:lang w:val="en-GB"/>
        </w:rPr>
        <w:tab/>
        <w:t>Mr A C Roos (DA) to ask the Minister of Home Affairs:</w:t>
      </w:r>
    </w:p>
    <w:p w:rsidR="00AF6773" w:rsidRPr="00AF6773" w:rsidRDefault="00AF6773" w:rsidP="00AF6773">
      <w:pPr>
        <w:tabs>
          <w:tab w:val="left" w:pos="0"/>
        </w:tabs>
        <w:spacing w:before="100" w:beforeAutospacing="1" w:after="100" w:afterAutospacing="1" w:line="320" w:lineRule="atLeast"/>
        <w:ind w:left="709" w:hanging="709"/>
        <w:jc w:val="both"/>
        <w:outlineLvl w:val="0"/>
        <w:rPr>
          <w:rFonts w:ascii="Arial" w:hAnsi="Arial" w:cs="Arial"/>
          <w:sz w:val="24"/>
          <w:szCs w:val="24"/>
          <w:lang w:val="en-GB"/>
        </w:rPr>
      </w:pPr>
      <w:r w:rsidRPr="00AF6773">
        <w:rPr>
          <w:rFonts w:ascii="Arial" w:hAnsi="Arial" w:cs="Arial"/>
          <w:sz w:val="24"/>
          <w:szCs w:val="24"/>
          <w:lang w:val="en-GB"/>
        </w:rPr>
        <w:t>(1)</w:t>
      </w:r>
      <w:r w:rsidRPr="00AF6773">
        <w:rPr>
          <w:rFonts w:ascii="Arial" w:hAnsi="Arial" w:cs="Arial"/>
          <w:sz w:val="24"/>
          <w:szCs w:val="24"/>
          <w:lang w:val="en-GB"/>
        </w:rPr>
        <w:tab/>
        <w:t>Whether he will furnish Mr A C Roos with a list of the court cases in the 2022-23 financial year, in which his department has been instructed to amend regulations and/or legislation, that have not been done; if not, why not; if so, what are the relevant details;</w:t>
      </w:r>
    </w:p>
    <w:p w:rsidR="00AF6773" w:rsidRPr="00AF6773" w:rsidRDefault="00AF6773" w:rsidP="00AF6773">
      <w:pPr>
        <w:tabs>
          <w:tab w:val="left" w:pos="0"/>
        </w:tabs>
        <w:spacing w:before="100" w:beforeAutospacing="1" w:after="100" w:afterAutospacing="1" w:line="320" w:lineRule="atLeast"/>
        <w:ind w:left="709" w:hanging="709"/>
        <w:jc w:val="both"/>
        <w:outlineLvl w:val="0"/>
        <w:rPr>
          <w:rFonts w:ascii="Arial" w:hAnsi="Arial" w:cs="Arial"/>
          <w:sz w:val="24"/>
          <w:szCs w:val="24"/>
          <w:lang w:val="en-GB"/>
        </w:rPr>
      </w:pPr>
      <w:r w:rsidRPr="00AF6773">
        <w:rPr>
          <w:rFonts w:ascii="Arial" w:hAnsi="Arial" w:cs="Arial"/>
          <w:sz w:val="24"/>
          <w:szCs w:val="24"/>
          <w:lang w:val="en-GB"/>
        </w:rPr>
        <w:t>(2)</w:t>
      </w:r>
      <w:r w:rsidRPr="00AF6773">
        <w:rPr>
          <w:rFonts w:ascii="Arial" w:hAnsi="Arial" w:cs="Arial"/>
          <w:sz w:val="24"/>
          <w:szCs w:val="24"/>
          <w:lang w:val="en-GB"/>
        </w:rPr>
        <w:tab/>
        <w:t>whether he will furnish Mr A C Roos with a list of the (a) deadlines given by the court to effect the order for each case and (b) actions taken to satisfy the requirements of the court order in each case; if not, why not; if so, what are the relevant details?</w:t>
      </w:r>
      <w:r w:rsidRPr="00AF6773">
        <w:rPr>
          <w:rFonts w:ascii="Arial" w:hAnsi="Arial" w:cs="Arial"/>
          <w:sz w:val="24"/>
          <w:szCs w:val="24"/>
          <w:lang w:val="en-GB"/>
        </w:rPr>
        <w:tab/>
      </w:r>
      <w:r w:rsidRPr="00AF6773">
        <w:rPr>
          <w:rFonts w:ascii="Arial" w:hAnsi="Arial" w:cs="Arial"/>
          <w:sz w:val="24"/>
          <w:szCs w:val="24"/>
          <w:lang w:val="en-GB"/>
        </w:rPr>
        <w:tab/>
      </w:r>
      <w:r w:rsidRPr="00AF6773">
        <w:rPr>
          <w:rFonts w:ascii="Arial" w:hAnsi="Arial" w:cs="Arial"/>
          <w:sz w:val="24"/>
          <w:szCs w:val="24"/>
          <w:lang w:val="en-GB"/>
        </w:rPr>
        <w:tab/>
      </w:r>
      <w:r w:rsidRPr="00AF6773">
        <w:rPr>
          <w:rFonts w:ascii="Arial" w:hAnsi="Arial" w:cs="Arial"/>
          <w:sz w:val="24"/>
          <w:szCs w:val="24"/>
          <w:lang w:val="en-GB"/>
        </w:rPr>
        <w:tab/>
      </w:r>
      <w:r w:rsidRPr="00AF6773">
        <w:rPr>
          <w:rFonts w:ascii="Arial" w:hAnsi="Arial" w:cs="Arial"/>
          <w:sz w:val="24"/>
          <w:szCs w:val="24"/>
          <w:lang w:val="en-GB"/>
        </w:rPr>
        <w:tab/>
      </w:r>
      <w:r w:rsidRPr="00AF6773">
        <w:rPr>
          <w:rFonts w:ascii="Arial" w:hAnsi="Arial" w:cs="Arial"/>
          <w:sz w:val="24"/>
          <w:szCs w:val="24"/>
          <w:lang w:val="en-GB"/>
        </w:rPr>
        <w:tab/>
      </w:r>
      <w:r w:rsidRPr="00AF6773">
        <w:rPr>
          <w:rFonts w:ascii="Arial" w:hAnsi="Arial" w:cs="Arial"/>
          <w:sz w:val="24"/>
          <w:szCs w:val="24"/>
          <w:lang w:val="en-GB"/>
        </w:rPr>
        <w:tab/>
        <w:t>NW5157E</w:t>
      </w:r>
    </w:p>
    <w:p w:rsidR="00AF6773" w:rsidRDefault="00AF6773" w:rsidP="00AF6773">
      <w:pPr>
        <w:tabs>
          <w:tab w:val="left" w:pos="0"/>
        </w:tabs>
        <w:spacing w:before="100" w:beforeAutospacing="1" w:after="100" w:afterAutospacing="1" w:line="320" w:lineRule="atLeast"/>
        <w:ind w:left="709" w:hanging="709"/>
        <w:jc w:val="both"/>
        <w:outlineLvl w:val="0"/>
        <w:rPr>
          <w:rFonts w:ascii="Arial" w:eastAsia="Times New Roman" w:hAnsi="Arial" w:cs="Arial"/>
          <w:b/>
          <w:sz w:val="24"/>
          <w:szCs w:val="24"/>
          <w:lang w:val="en-GB"/>
        </w:rPr>
      </w:pPr>
    </w:p>
    <w:p w:rsidR="00AF6773" w:rsidRPr="00AF6773" w:rsidRDefault="00AF6773" w:rsidP="00AF6773">
      <w:pPr>
        <w:tabs>
          <w:tab w:val="left" w:pos="0"/>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AF6773" w:rsidRPr="00AF6773" w:rsidRDefault="00AF6773" w:rsidP="00AF6773">
      <w:pPr>
        <w:numPr>
          <w:ilvl w:val="0"/>
          <w:numId w:val="35"/>
        </w:numPr>
        <w:tabs>
          <w:tab w:val="left" w:pos="0"/>
        </w:tabs>
        <w:spacing w:before="100" w:beforeAutospacing="1" w:after="100" w:afterAutospacing="1" w:line="320" w:lineRule="atLeast"/>
        <w:ind w:hanging="720"/>
        <w:contextualSpacing/>
        <w:jc w:val="both"/>
        <w:outlineLvl w:val="0"/>
        <w:rPr>
          <w:rFonts w:ascii="Arial" w:eastAsia="Times New Roman" w:hAnsi="Arial" w:cs="Arial"/>
          <w:sz w:val="24"/>
          <w:szCs w:val="24"/>
          <w:lang w:val="en-GB"/>
        </w:rPr>
      </w:pPr>
      <w:r w:rsidRPr="00AF6773">
        <w:rPr>
          <w:rFonts w:ascii="Arial" w:eastAsia="Times New Roman" w:hAnsi="Arial" w:cs="Arial"/>
          <w:sz w:val="24"/>
          <w:szCs w:val="24"/>
          <w:lang w:val="en-GB"/>
        </w:rPr>
        <w:t xml:space="preserve">During 2022-2023 financial year the Department was instructed to amend certain sections </w:t>
      </w:r>
      <w:r w:rsidR="00D25505">
        <w:rPr>
          <w:rFonts w:ascii="Arial" w:eastAsia="Times New Roman" w:hAnsi="Arial" w:cs="Arial"/>
          <w:sz w:val="24"/>
          <w:szCs w:val="24"/>
          <w:lang w:val="en-GB"/>
        </w:rPr>
        <w:t xml:space="preserve">of the Immigration Act, 13 of 2022 </w:t>
      </w:r>
      <w:r w:rsidRPr="00AF6773">
        <w:rPr>
          <w:rFonts w:ascii="Arial" w:eastAsia="Times New Roman" w:hAnsi="Arial" w:cs="Arial"/>
          <w:sz w:val="24"/>
          <w:szCs w:val="24"/>
          <w:lang w:val="en-GB"/>
        </w:rPr>
        <w:t xml:space="preserve">on the matter of Tereza Rayment &amp; 5 others v The Minister of Home Affairs: court case No. </w:t>
      </w:r>
      <w:r w:rsidRPr="00AF6773">
        <w:rPr>
          <w:rFonts w:ascii="Arial" w:eastAsia="Times New Roman" w:hAnsi="Arial" w:cs="Arial"/>
          <w:bCs/>
          <w:sz w:val="24"/>
          <w:szCs w:val="24"/>
          <w:lang w:val="en-GB"/>
        </w:rPr>
        <w:t xml:space="preserve">3919/20, as summarised hereunder:                                                                                              </w:t>
      </w:r>
    </w:p>
    <w:p w:rsidR="00AF6773" w:rsidRPr="00AF6773" w:rsidRDefault="00AF6773" w:rsidP="00AF6773">
      <w:pPr>
        <w:tabs>
          <w:tab w:val="left" w:pos="0"/>
        </w:tabs>
        <w:spacing w:before="100" w:beforeAutospacing="1" w:after="100" w:afterAutospacing="1" w:line="320" w:lineRule="atLeast"/>
        <w:ind w:left="720"/>
        <w:contextualSpacing/>
        <w:jc w:val="both"/>
        <w:outlineLvl w:val="0"/>
        <w:rPr>
          <w:rFonts w:ascii="Arial" w:eastAsia="Times New Roman" w:hAnsi="Arial" w:cs="Arial"/>
          <w:b/>
          <w:sz w:val="24"/>
          <w:szCs w:val="24"/>
          <w:lang w:val="en-GB"/>
        </w:rPr>
      </w:pPr>
    </w:p>
    <w:p w:rsidR="00AF6773" w:rsidRPr="00AF6773" w:rsidRDefault="00AF6773" w:rsidP="00AF6773">
      <w:pPr>
        <w:tabs>
          <w:tab w:val="left" w:pos="0"/>
        </w:tabs>
        <w:spacing w:before="100" w:beforeAutospacing="1" w:after="100" w:afterAutospacing="1" w:line="320" w:lineRule="atLeast"/>
        <w:ind w:left="720"/>
        <w:jc w:val="both"/>
        <w:outlineLvl w:val="0"/>
        <w:rPr>
          <w:rFonts w:ascii="Arial" w:eastAsia="Times New Roman" w:hAnsi="Arial" w:cs="Arial"/>
          <w:sz w:val="24"/>
          <w:szCs w:val="24"/>
          <w:lang w:val="en-GB"/>
        </w:rPr>
      </w:pPr>
      <w:r w:rsidRPr="00AF6773">
        <w:rPr>
          <w:rFonts w:ascii="Arial" w:eastAsia="Times New Roman" w:hAnsi="Arial" w:cs="Arial"/>
          <w:sz w:val="24"/>
          <w:szCs w:val="24"/>
          <w:lang w:val="en-GB"/>
        </w:rPr>
        <w:t xml:space="preserve">The Applicants sought to declare the Immigration Act, 13 of 2002, unconstitutional based on Sections 10(6), 11(6), 18(2) and 43, and Regulation 17 thereof. The Western Cape High Court held that Sections 10(6), 11(1)(b) and 18(2), read with Regulation 9(5) and 9(9) are inconsistent with the Constitution of the Republic of South Africa. That declaration of invalidity was suspended for 24 months from the date of the order, to enable Parliament to remedy the inconsistency. </w:t>
      </w:r>
    </w:p>
    <w:p w:rsidR="00AF6773" w:rsidRPr="00AF6773" w:rsidRDefault="00AF6773" w:rsidP="00AF6773">
      <w:pPr>
        <w:tabs>
          <w:tab w:val="left" w:pos="0"/>
        </w:tabs>
        <w:spacing w:before="100" w:beforeAutospacing="1" w:after="100" w:afterAutospacing="1" w:line="320" w:lineRule="atLeast"/>
        <w:ind w:left="720"/>
        <w:jc w:val="both"/>
        <w:outlineLvl w:val="0"/>
        <w:rPr>
          <w:rFonts w:ascii="Arial" w:eastAsia="Times New Roman" w:hAnsi="Arial" w:cs="Arial"/>
          <w:sz w:val="24"/>
          <w:szCs w:val="24"/>
          <w:lang w:val="en-GB"/>
        </w:rPr>
      </w:pPr>
      <w:r w:rsidRPr="00AF6773">
        <w:rPr>
          <w:rFonts w:ascii="Arial" w:eastAsia="Times New Roman" w:hAnsi="Arial" w:cs="Arial"/>
          <w:sz w:val="24"/>
          <w:szCs w:val="24"/>
          <w:lang w:val="en-GB"/>
        </w:rPr>
        <w:lastRenderedPageBreak/>
        <w:t xml:space="preserve">The Western Cape High Court ordered that the Department must consider granting the Applicants authorization to remain in the RSA in terms of Section 32(1), pending the outcome of such applications. Costs were ordered to be paid by the Department, including the costs of two Counsel. </w:t>
      </w:r>
    </w:p>
    <w:p w:rsidR="00AF6773" w:rsidRPr="00AF6773" w:rsidRDefault="00AF6773" w:rsidP="00AF6773">
      <w:pPr>
        <w:tabs>
          <w:tab w:val="left" w:pos="0"/>
        </w:tabs>
        <w:spacing w:before="100" w:beforeAutospacing="1" w:after="100" w:afterAutospacing="1" w:line="320" w:lineRule="atLeast"/>
        <w:ind w:left="720"/>
        <w:jc w:val="both"/>
        <w:outlineLvl w:val="0"/>
        <w:rPr>
          <w:rFonts w:ascii="Arial" w:eastAsia="Times New Roman" w:hAnsi="Arial" w:cs="Arial"/>
          <w:sz w:val="24"/>
          <w:szCs w:val="24"/>
          <w:lang w:val="en-GB"/>
        </w:rPr>
      </w:pPr>
      <w:r w:rsidRPr="00AF6773">
        <w:rPr>
          <w:rFonts w:ascii="Arial" w:eastAsia="Times New Roman" w:hAnsi="Arial" w:cs="Arial"/>
          <w:sz w:val="24"/>
          <w:szCs w:val="24"/>
          <w:lang w:val="en-GB"/>
        </w:rPr>
        <w:t xml:space="preserve">Both the Applicants and the Department were not satisfied with the order and therefore appealed, and cross appealed respectively, resulting in the stay of the court order and thus </w:t>
      </w:r>
      <w:r w:rsidR="003C14D9">
        <w:rPr>
          <w:rFonts w:ascii="Arial" w:eastAsia="Times New Roman" w:hAnsi="Arial" w:cs="Arial"/>
          <w:sz w:val="24"/>
          <w:szCs w:val="24"/>
          <w:lang w:val="en-GB"/>
        </w:rPr>
        <w:t xml:space="preserve">it </w:t>
      </w:r>
      <w:r w:rsidRPr="00AF6773">
        <w:rPr>
          <w:rFonts w:ascii="Arial" w:eastAsia="Times New Roman" w:hAnsi="Arial" w:cs="Arial"/>
          <w:sz w:val="24"/>
          <w:szCs w:val="24"/>
          <w:lang w:val="en-GB"/>
        </w:rPr>
        <w:t xml:space="preserve">cannot be implemented. </w:t>
      </w:r>
    </w:p>
    <w:p w:rsidR="00AF6773" w:rsidRPr="00AF6773" w:rsidRDefault="00AF6773" w:rsidP="00AF6773">
      <w:pPr>
        <w:tabs>
          <w:tab w:val="left" w:pos="0"/>
        </w:tabs>
        <w:spacing w:before="100" w:beforeAutospacing="1" w:after="100" w:afterAutospacing="1" w:line="320" w:lineRule="atLeast"/>
        <w:ind w:left="720"/>
        <w:contextualSpacing/>
        <w:jc w:val="both"/>
        <w:outlineLvl w:val="0"/>
        <w:rPr>
          <w:rFonts w:ascii="Arial" w:eastAsia="Times New Roman" w:hAnsi="Arial" w:cs="Arial"/>
          <w:b/>
          <w:sz w:val="24"/>
          <w:szCs w:val="24"/>
          <w:lang w:val="en-GB"/>
        </w:rPr>
      </w:pPr>
    </w:p>
    <w:p w:rsidR="00AF6773" w:rsidRPr="00AF6773" w:rsidRDefault="00AF6773" w:rsidP="003C14D9">
      <w:pPr>
        <w:numPr>
          <w:ilvl w:val="0"/>
          <w:numId w:val="35"/>
        </w:numPr>
        <w:tabs>
          <w:tab w:val="left" w:pos="0"/>
        </w:tabs>
        <w:spacing w:before="100" w:beforeAutospacing="1" w:after="100" w:afterAutospacing="1" w:line="320" w:lineRule="atLeast"/>
        <w:ind w:hanging="720"/>
        <w:contextualSpacing/>
        <w:jc w:val="both"/>
        <w:outlineLvl w:val="0"/>
        <w:rPr>
          <w:rFonts w:ascii="Arial" w:eastAsia="Times New Roman" w:hAnsi="Arial" w:cs="Arial"/>
          <w:sz w:val="24"/>
          <w:szCs w:val="24"/>
          <w:lang w:val="en-GB"/>
        </w:rPr>
      </w:pPr>
      <w:r w:rsidRPr="00AF6773">
        <w:rPr>
          <w:rFonts w:ascii="Arial" w:eastAsia="Times New Roman" w:hAnsi="Arial" w:cs="Arial"/>
          <w:sz w:val="24"/>
          <w:szCs w:val="24"/>
          <w:lang w:val="en-GB"/>
        </w:rPr>
        <w:t xml:space="preserve">The above-mentioned court application is the only court case during the </w:t>
      </w:r>
      <w:r w:rsidRPr="00AF6773">
        <w:rPr>
          <w:rFonts w:ascii="Arial" w:hAnsi="Arial" w:cs="Arial"/>
          <w:sz w:val="24"/>
          <w:szCs w:val="24"/>
          <w:lang w:val="en-GB"/>
        </w:rPr>
        <w:t>2022-23 financial year</w:t>
      </w:r>
      <w:r w:rsidRPr="00AF6773">
        <w:rPr>
          <w:rFonts w:ascii="Arial" w:eastAsia="Times New Roman" w:hAnsi="Arial" w:cs="Arial"/>
          <w:sz w:val="24"/>
          <w:szCs w:val="24"/>
          <w:lang w:val="en-GB"/>
        </w:rPr>
        <w:t xml:space="preserve"> wherein the Western Cape High Court instructed the Department </w:t>
      </w:r>
      <w:r w:rsidRPr="00AF6773">
        <w:rPr>
          <w:rFonts w:ascii="Arial" w:hAnsi="Arial" w:cs="Arial"/>
          <w:sz w:val="24"/>
          <w:szCs w:val="24"/>
          <w:lang w:val="en-GB"/>
        </w:rPr>
        <w:t xml:space="preserve">to amend its regulations and/or legislation. As mentioned above, the court order has been stayed due to the pending appeal processes.  </w:t>
      </w:r>
    </w:p>
    <w:p w:rsidR="00AF6773" w:rsidRPr="00AF6773" w:rsidRDefault="00AF6773" w:rsidP="00AF6773">
      <w:pPr>
        <w:tabs>
          <w:tab w:val="left" w:pos="0"/>
        </w:tabs>
        <w:spacing w:before="100" w:beforeAutospacing="1" w:after="100" w:afterAutospacing="1" w:line="320" w:lineRule="atLeast"/>
        <w:ind w:left="720"/>
        <w:contextualSpacing/>
        <w:jc w:val="both"/>
        <w:outlineLvl w:val="0"/>
        <w:rPr>
          <w:rFonts w:ascii="Arial" w:eastAsia="Times New Roman" w:hAnsi="Arial" w:cs="Arial"/>
          <w:sz w:val="24"/>
          <w:szCs w:val="24"/>
          <w:lang w:val="en-GB"/>
        </w:rPr>
      </w:pPr>
    </w:p>
    <w:p w:rsidR="00E234AE" w:rsidRPr="00E234AE" w:rsidRDefault="004719A7" w:rsidP="0013256D">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13256D">
        <w:rPr>
          <w:rFonts w:ascii="Arial" w:eastAsia="Times New Roman" w:hAnsi="Arial" w:cs="Arial"/>
          <w:b/>
          <w:sz w:val="24"/>
          <w:szCs w:val="24"/>
          <w:lang w:val="en-GB"/>
        </w:rPr>
        <w:tab/>
      </w:r>
    </w:p>
    <w:p w:rsidR="00400BA7" w:rsidRPr="00400BA7" w:rsidRDefault="006B61FA" w:rsidP="006B61FA">
      <w:pPr>
        <w:tabs>
          <w:tab w:val="left" w:pos="8540"/>
        </w:tabs>
        <w:rPr>
          <w:rFonts w:ascii="Arial" w:hAnsi="Arial" w:cs="Arial"/>
          <w:sz w:val="24"/>
          <w:szCs w:val="24"/>
        </w:rPr>
      </w:pPr>
      <w:r>
        <w:rPr>
          <w:rFonts w:ascii="Arial" w:hAnsi="Arial" w:cs="Arial"/>
          <w:sz w:val="24"/>
          <w:szCs w:val="24"/>
        </w:rPr>
        <w:tab/>
      </w:r>
    </w:p>
    <w:p w:rsidR="00456148" w:rsidRPr="00400BA7" w:rsidRDefault="00456148" w:rsidP="00400BA7">
      <w:pPr>
        <w:rPr>
          <w:rFonts w:ascii="Arial" w:hAnsi="Arial" w:cs="Arial"/>
          <w:sz w:val="24"/>
          <w:szCs w:val="24"/>
        </w:rPr>
      </w:pPr>
    </w:p>
    <w:sectPr w:rsidR="00456148" w:rsidRPr="00400BA7" w:rsidSect="00497BBE">
      <w:headerReference w:type="default" r:id="rId9"/>
      <w:footerReference w:type="even" r:id="rId10"/>
      <w:footerReference w:type="default" r:id="rId11"/>
      <w:footerReference w:type="first" r:id="rId12"/>
      <w:pgSz w:w="12240" w:h="15840" w:code="1"/>
      <w:pgMar w:top="284" w:right="992"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109" w:rsidRDefault="003E2109" w:rsidP="00670234">
      <w:pPr>
        <w:spacing w:after="0" w:line="240" w:lineRule="auto"/>
      </w:pPr>
      <w:r>
        <w:separator/>
      </w:r>
    </w:p>
  </w:endnote>
  <w:endnote w:type="continuationSeparator" w:id="0">
    <w:p w:rsidR="003E2109" w:rsidRDefault="003E2109"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A64EAA"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4</w:t>
    </w:r>
    <w:r w:rsidR="003C14D9">
      <w:rPr>
        <w:rFonts w:ascii="Arial" w:eastAsia="Times New Roman" w:hAnsi="Arial" w:cs="Arial"/>
        <w:b/>
        <w:bCs/>
        <w:sz w:val="20"/>
        <w:szCs w:val="20"/>
      </w:rPr>
      <w:t>141</w:t>
    </w:r>
    <w:r>
      <w:rPr>
        <w:rFonts w:ascii="Arial" w:eastAsia="Times New Roman" w:hAnsi="Arial" w:cs="Arial"/>
        <w:b/>
        <w:bCs/>
        <w:sz w:val="20"/>
        <w:szCs w:val="20"/>
      </w:rPr>
      <w:t xml:space="preserve">. </w:t>
    </w:r>
    <w:r w:rsidRPr="00A64EAA">
      <w:rPr>
        <w:rFonts w:ascii="Arial" w:eastAsia="Times New Roman" w:hAnsi="Arial" w:cs="Arial"/>
        <w:b/>
        <w:bCs/>
        <w:sz w:val="20"/>
        <w:szCs w:val="20"/>
      </w:rPr>
      <w:t>Mr A C Roos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FB5AC1" w:rsidRPr="00FB5AC1">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A64EAA"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4</w:t>
    </w:r>
    <w:r w:rsidR="00C5671F">
      <w:rPr>
        <w:rFonts w:ascii="Arial" w:eastAsia="Times New Roman" w:hAnsi="Arial" w:cs="Arial"/>
        <w:b/>
        <w:bCs/>
        <w:sz w:val="20"/>
        <w:szCs w:val="20"/>
      </w:rPr>
      <w:t>141</w:t>
    </w:r>
    <w:r>
      <w:rPr>
        <w:rFonts w:ascii="Arial" w:eastAsia="Times New Roman" w:hAnsi="Arial" w:cs="Arial"/>
        <w:b/>
        <w:bCs/>
        <w:sz w:val="20"/>
        <w:szCs w:val="20"/>
      </w:rPr>
      <w:t xml:space="preserve">. </w:t>
    </w:r>
    <w:r w:rsidRPr="00A64EAA">
      <w:rPr>
        <w:rFonts w:ascii="Arial" w:eastAsia="Times New Roman" w:hAnsi="Arial" w:cs="Arial"/>
        <w:b/>
        <w:bCs/>
        <w:sz w:val="20"/>
        <w:szCs w:val="20"/>
      </w:rPr>
      <w:t xml:space="preserve">Mr A C Roos (DA) 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109" w:rsidRDefault="003E2109" w:rsidP="00670234">
      <w:pPr>
        <w:spacing w:after="0" w:line="240" w:lineRule="auto"/>
      </w:pPr>
      <w:r>
        <w:separator/>
      </w:r>
    </w:p>
  </w:footnote>
  <w:footnote w:type="continuationSeparator" w:id="0">
    <w:p w:rsidR="003E2109" w:rsidRDefault="003E2109"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FB5AC1">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4">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9">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0">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4">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18"/>
  </w:num>
  <w:num w:numId="2">
    <w:abstractNumId w:val="8"/>
  </w:num>
  <w:num w:numId="3">
    <w:abstractNumId w:val="5"/>
  </w:num>
  <w:num w:numId="4">
    <w:abstractNumId w:val="24"/>
  </w:num>
  <w:num w:numId="5">
    <w:abstractNumId w:val="14"/>
  </w:num>
  <w:num w:numId="6">
    <w:abstractNumId w:val="4"/>
  </w:num>
  <w:num w:numId="7">
    <w:abstractNumId w:val="25"/>
  </w:num>
  <w:num w:numId="8">
    <w:abstractNumId w:val="33"/>
  </w:num>
  <w:num w:numId="9">
    <w:abstractNumId w:val="29"/>
  </w:num>
  <w:num w:numId="10">
    <w:abstractNumId w:val="23"/>
  </w:num>
  <w:num w:numId="11">
    <w:abstractNumId w:val="15"/>
  </w:num>
  <w:num w:numId="12">
    <w:abstractNumId w:val="30"/>
  </w:num>
  <w:num w:numId="13">
    <w:abstractNumId w:val="7"/>
  </w:num>
  <w:num w:numId="14">
    <w:abstractNumId w:val="0"/>
  </w:num>
  <w:num w:numId="15">
    <w:abstractNumId w:val="2"/>
  </w:num>
  <w:num w:numId="16">
    <w:abstractNumId w:val="26"/>
  </w:num>
  <w:num w:numId="17">
    <w:abstractNumId w:val="32"/>
  </w:num>
  <w:num w:numId="18">
    <w:abstractNumId w:val="1"/>
  </w:num>
  <w:num w:numId="19">
    <w:abstractNumId w:val="10"/>
  </w:num>
  <w:num w:numId="20">
    <w:abstractNumId w:val="3"/>
  </w:num>
  <w:num w:numId="21">
    <w:abstractNumId w:val="17"/>
  </w:num>
  <w:num w:numId="22">
    <w:abstractNumId w:val="9"/>
  </w:num>
  <w:num w:numId="23">
    <w:abstractNumId w:val="31"/>
  </w:num>
  <w:num w:numId="24">
    <w:abstractNumId w:val="27"/>
  </w:num>
  <w:num w:numId="25">
    <w:abstractNumId w:val="6"/>
  </w:num>
  <w:num w:numId="26">
    <w:abstractNumId w:val="16"/>
  </w:num>
  <w:num w:numId="27">
    <w:abstractNumId w:val="22"/>
  </w:num>
  <w:num w:numId="28">
    <w:abstractNumId w:val="1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lvlOverride w:ilvl="2"/>
    <w:lvlOverride w:ilvl="3"/>
    <w:lvlOverride w:ilvl="4"/>
    <w:lvlOverride w:ilvl="5"/>
    <w:lvlOverride w:ilvl="6"/>
    <w:lvlOverride w:ilvl="7"/>
    <w:lvlOverride w:ilvl="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lvlOverride w:ilvl="2"/>
    <w:lvlOverride w:ilvl="3"/>
    <w:lvlOverride w:ilvl="4"/>
    <w:lvlOverride w:ilvl="5"/>
    <w:lvlOverride w:ilvl="6"/>
    <w:lvlOverride w:ilvl="7"/>
    <w:lvlOverride w:ilvl="8"/>
  </w:num>
  <w:num w:numId="33">
    <w:abstractNumId w:val="21"/>
  </w:num>
  <w:num w:numId="34">
    <w:abstractNumId w:val="12"/>
  </w:num>
  <w:num w:numId="35">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D1196"/>
    <w:rsid w:val="000D66B3"/>
    <w:rsid w:val="000E41EA"/>
    <w:rsid w:val="000F058C"/>
    <w:rsid w:val="00100657"/>
    <w:rsid w:val="00110627"/>
    <w:rsid w:val="0013256D"/>
    <w:rsid w:val="00137414"/>
    <w:rsid w:val="00157708"/>
    <w:rsid w:val="001619C8"/>
    <w:rsid w:val="001752C2"/>
    <w:rsid w:val="001973ED"/>
    <w:rsid w:val="0019774F"/>
    <w:rsid w:val="001B760D"/>
    <w:rsid w:val="001C1F2A"/>
    <w:rsid w:val="001C66A5"/>
    <w:rsid w:val="001D77EA"/>
    <w:rsid w:val="001D78CD"/>
    <w:rsid w:val="001E0486"/>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69E3"/>
    <w:rsid w:val="00320764"/>
    <w:rsid w:val="003268DA"/>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E2109"/>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719A7"/>
    <w:rsid w:val="00497BBE"/>
    <w:rsid w:val="004C31D1"/>
    <w:rsid w:val="004C7F33"/>
    <w:rsid w:val="004D243D"/>
    <w:rsid w:val="004E64A2"/>
    <w:rsid w:val="004F3075"/>
    <w:rsid w:val="00512B31"/>
    <w:rsid w:val="0052344C"/>
    <w:rsid w:val="00525C51"/>
    <w:rsid w:val="00532231"/>
    <w:rsid w:val="00534A4F"/>
    <w:rsid w:val="0054035C"/>
    <w:rsid w:val="005431D0"/>
    <w:rsid w:val="00545984"/>
    <w:rsid w:val="00547A0D"/>
    <w:rsid w:val="00555113"/>
    <w:rsid w:val="00566C60"/>
    <w:rsid w:val="0057013D"/>
    <w:rsid w:val="00590E2B"/>
    <w:rsid w:val="005A5551"/>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F1BE6"/>
    <w:rsid w:val="006F7DB9"/>
    <w:rsid w:val="006F7E32"/>
    <w:rsid w:val="0070397C"/>
    <w:rsid w:val="007232C0"/>
    <w:rsid w:val="00723CFC"/>
    <w:rsid w:val="00727AF0"/>
    <w:rsid w:val="00734E6C"/>
    <w:rsid w:val="00742EE0"/>
    <w:rsid w:val="00751923"/>
    <w:rsid w:val="00762605"/>
    <w:rsid w:val="00763272"/>
    <w:rsid w:val="007860EA"/>
    <w:rsid w:val="007910E9"/>
    <w:rsid w:val="007D7585"/>
    <w:rsid w:val="007F3707"/>
    <w:rsid w:val="007F3E24"/>
    <w:rsid w:val="007F3FB4"/>
    <w:rsid w:val="008233F2"/>
    <w:rsid w:val="00826A42"/>
    <w:rsid w:val="0083031D"/>
    <w:rsid w:val="00841947"/>
    <w:rsid w:val="0085172E"/>
    <w:rsid w:val="00852E87"/>
    <w:rsid w:val="00854747"/>
    <w:rsid w:val="00856D09"/>
    <w:rsid w:val="00860E65"/>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4259"/>
    <w:rsid w:val="00A53DDA"/>
    <w:rsid w:val="00A62EC9"/>
    <w:rsid w:val="00A64EAA"/>
    <w:rsid w:val="00A65C2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E20AF"/>
    <w:rsid w:val="00BF55B8"/>
    <w:rsid w:val="00C000AD"/>
    <w:rsid w:val="00C16097"/>
    <w:rsid w:val="00C17EE2"/>
    <w:rsid w:val="00C2328D"/>
    <w:rsid w:val="00C24F1C"/>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25505"/>
    <w:rsid w:val="00D30C94"/>
    <w:rsid w:val="00D32CA0"/>
    <w:rsid w:val="00D3387F"/>
    <w:rsid w:val="00D362A9"/>
    <w:rsid w:val="00D36321"/>
    <w:rsid w:val="00D4528B"/>
    <w:rsid w:val="00D54A32"/>
    <w:rsid w:val="00D85751"/>
    <w:rsid w:val="00D971D5"/>
    <w:rsid w:val="00DB2ECC"/>
    <w:rsid w:val="00DB436C"/>
    <w:rsid w:val="00DC1506"/>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B5AC1"/>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84B54-71B5-47EB-B212-8D4144E9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2022-11-17T06:47:00Z</cp:lastPrinted>
  <dcterms:created xsi:type="dcterms:W3CDTF">2022-11-28T10:19:00Z</dcterms:created>
  <dcterms:modified xsi:type="dcterms:W3CDTF">2022-11-28T10:19:00Z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2c4534f0850f54e9fd95b83121593fdbc1089485b6e46db4820efa8ebf230958</vt:lpwstr>
  </property>
</Properties>
</file>