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99" w:rsidRDefault="00C73699" w:rsidP="00C73699">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C73699" w:rsidRPr="001508AF" w:rsidRDefault="00C73699" w:rsidP="00C73699">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73699" w:rsidRPr="001508AF" w:rsidRDefault="00C73699" w:rsidP="00C73699">
      <w:pPr>
        <w:spacing w:after="0" w:line="240" w:lineRule="auto"/>
        <w:outlineLvl w:val="0"/>
        <w:rPr>
          <w:rFonts w:ascii="Arial" w:eastAsia="Arial Unicode MS" w:hAnsi="Arial" w:cs="Times New Roman"/>
          <w:color w:val="000000"/>
          <w:sz w:val="24"/>
          <w:szCs w:val="20"/>
          <w:lang w:eastAsia="en-ZA"/>
        </w:rPr>
      </w:pPr>
    </w:p>
    <w:p w:rsidR="00C73699" w:rsidRPr="001508AF" w:rsidRDefault="00C73699" w:rsidP="00C73699">
      <w:pPr>
        <w:spacing w:after="0" w:line="240" w:lineRule="auto"/>
        <w:outlineLvl w:val="0"/>
        <w:rPr>
          <w:rFonts w:ascii="Arial" w:eastAsia="Arial Unicode MS" w:hAnsi="Arial" w:cs="Times New Roman"/>
          <w:color w:val="000000"/>
          <w:sz w:val="24"/>
          <w:szCs w:val="20"/>
          <w:lang w:eastAsia="en-ZA"/>
        </w:rPr>
      </w:pPr>
    </w:p>
    <w:p w:rsidR="00C73699" w:rsidRPr="001508AF" w:rsidRDefault="00C73699" w:rsidP="00C73699">
      <w:pPr>
        <w:spacing w:after="0" w:line="240" w:lineRule="auto"/>
        <w:jc w:val="center"/>
        <w:outlineLvl w:val="0"/>
        <w:rPr>
          <w:rFonts w:ascii="Arial" w:eastAsia="Arial Unicode MS" w:hAnsi="Arial" w:cs="Times New Roman"/>
          <w:b/>
          <w:color w:val="000000"/>
          <w:sz w:val="24"/>
          <w:szCs w:val="20"/>
          <w:lang w:eastAsia="en-ZA"/>
        </w:rPr>
      </w:pPr>
    </w:p>
    <w:p w:rsidR="00C73699" w:rsidRPr="001508AF" w:rsidRDefault="00C73699" w:rsidP="00C73699">
      <w:pPr>
        <w:spacing w:after="0" w:line="240" w:lineRule="auto"/>
        <w:jc w:val="center"/>
        <w:outlineLvl w:val="0"/>
        <w:rPr>
          <w:rFonts w:ascii="Arial" w:eastAsia="Arial Unicode MS" w:hAnsi="Arial" w:cs="Times New Roman"/>
          <w:b/>
          <w:color w:val="000000"/>
          <w:sz w:val="24"/>
          <w:szCs w:val="20"/>
          <w:lang w:eastAsia="en-ZA"/>
        </w:rPr>
      </w:pPr>
    </w:p>
    <w:p w:rsidR="00C73699" w:rsidRPr="001508AF" w:rsidRDefault="00C73699" w:rsidP="00C7369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73699" w:rsidRPr="001508AF" w:rsidRDefault="00C73699" w:rsidP="00C7369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73699" w:rsidRPr="001508AF" w:rsidRDefault="00C73699" w:rsidP="00C73699">
      <w:pPr>
        <w:spacing w:after="0" w:line="276" w:lineRule="auto"/>
        <w:outlineLvl w:val="0"/>
        <w:rPr>
          <w:rFonts w:ascii="Arial" w:eastAsia="Arial Unicode MS" w:hAnsi="Arial" w:cs="Times New Roman"/>
          <w:b/>
          <w:color w:val="000000"/>
          <w:sz w:val="24"/>
          <w:szCs w:val="20"/>
          <w:lang w:eastAsia="en-ZA"/>
        </w:rPr>
      </w:pP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r w:rsidRPr="00F7002B">
        <w:rPr>
          <w:rFonts w:ascii="Arial" w:eastAsia="Arial Unicode MS" w:hAnsi="Arial" w:cs="Arial"/>
          <w:b/>
          <w:color w:val="000000"/>
          <w:sz w:val="24"/>
          <w:szCs w:val="24"/>
          <w:lang w:eastAsia="en-ZA"/>
        </w:rPr>
        <w:t>NATIONAL ASSEMBLY</w:t>
      </w: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r w:rsidRPr="00F7002B">
        <w:rPr>
          <w:rFonts w:ascii="Arial" w:eastAsia="Arial Unicode MS" w:hAnsi="Arial" w:cs="Arial"/>
          <w:b/>
          <w:color w:val="000000"/>
          <w:sz w:val="24"/>
          <w:szCs w:val="24"/>
          <w:lang w:eastAsia="en-ZA"/>
        </w:rPr>
        <w:t xml:space="preserve">QUESTION FOR WRITTEN REPLY </w:t>
      </w: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r w:rsidRPr="00F7002B">
        <w:rPr>
          <w:rFonts w:ascii="Arial" w:eastAsia="Arial Unicode MS" w:hAnsi="Arial" w:cs="Arial"/>
          <w:b/>
          <w:color w:val="000000"/>
          <w:sz w:val="24"/>
          <w:szCs w:val="24"/>
          <w:lang w:eastAsia="en-ZA"/>
        </w:rPr>
        <w:t>DATE:</w:t>
      </w:r>
      <w:r w:rsidRPr="00F7002B">
        <w:rPr>
          <w:rFonts w:ascii="Arial" w:eastAsia="Arial Unicode MS" w:hAnsi="Arial" w:cs="Arial"/>
          <w:b/>
          <w:color w:val="000000"/>
          <w:sz w:val="24"/>
          <w:szCs w:val="24"/>
          <w:lang w:eastAsia="en-ZA"/>
        </w:rPr>
        <w:tab/>
      </w:r>
      <w:r w:rsidRPr="00F7002B">
        <w:rPr>
          <w:rFonts w:ascii="Arial" w:eastAsia="Arial Unicode MS" w:hAnsi="Arial" w:cs="Arial"/>
          <w:b/>
          <w:color w:val="000000"/>
          <w:sz w:val="24"/>
          <w:szCs w:val="24"/>
          <w:lang w:eastAsia="en-ZA"/>
        </w:rPr>
        <w:tab/>
        <w:t>4 NOVEMBER 2022</w:t>
      </w: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p>
    <w:p w:rsidR="00C73699" w:rsidRPr="00F7002B" w:rsidRDefault="00C73699" w:rsidP="00C7369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4135</w:t>
      </w:r>
      <w:r w:rsidRPr="00F7002B">
        <w:rPr>
          <w:rFonts w:ascii="Arial" w:eastAsia="Arial Unicode MS" w:hAnsi="Arial" w:cs="Arial"/>
          <w:b/>
          <w:color w:val="000000"/>
          <w:sz w:val="24"/>
          <w:szCs w:val="24"/>
          <w:lang w:eastAsia="en-ZA"/>
        </w:rPr>
        <w:t>.</w:t>
      </w:r>
      <w:r w:rsidRPr="00F7002B">
        <w:rPr>
          <w:rFonts w:ascii="Arial" w:eastAsia="Arial Unicode MS" w:hAnsi="Arial" w:cs="Arial"/>
          <w:b/>
          <w:color w:val="000000"/>
          <w:sz w:val="24"/>
          <w:szCs w:val="24"/>
          <w:lang w:eastAsia="en-ZA"/>
        </w:rPr>
        <w:tab/>
      </w:r>
    </w:p>
    <w:p w:rsidR="00C73699" w:rsidRPr="0051601D" w:rsidRDefault="00C73699" w:rsidP="00C73699">
      <w:pPr>
        <w:spacing w:before="100" w:beforeAutospacing="1" w:after="100" w:afterAutospacing="1" w:line="240" w:lineRule="auto"/>
        <w:ind w:right="180"/>
        <w:jc w:val="both"/>
        <w:outlineLvl w:val="0"/>
        <w:rPr>
          <w:rFonts w:ascii="Arial" w:hAnsi="Arial" w:cs="Arial"/>
          <w:b/>
          <w:bCs/>
          <w:sz w:val="24"/>
          <w:szCs w:val="24"/>
          <w:lang w:val="en-GB"/>
        </w:rPr>
      </w:pPr>
      <w:proofErr w:type="spellStart"/>
      <w:r w:rsidRPr="0051601D">
        <w:rPr>
          <w:rFonts w:ascii="Arial" w:hAnsi="Arial" w:cs="Arial"/>
          <w:b/>
          <w:sz w:val="24"/>
          <w:szCs w:val="24"/>
          <w:lang w:val="en-GB"/>
        </w:rPr>
        <w:t>Inkosi</w:t>
      </w:r>
      <w:proofErr w:type="spellEnd"/>
      <w:r w:rsidRPr="0051601D">
        <w:rPr>
          <w:rFonts w:ascii="Arial" w:eastAsia="Times New Roman" w:hAnsi="Arial" w:cs="Arial"/>
          <w:b/>
          <w:bCs/>
          <w:sz w:val="24"/>
          <w:szCs w:val="24"/>
          <w:lang w:val="en-GB"/>
        </w:rPr>
        <w:t xml:space="preserve"> R N </w:t>
      </w:r>
      <w:proofErr w:type="spellStart"/>
      <w:r w:rsidRPr="0051601D">
        <w:rPr>
          <w:rFonts w:ascii="Arial" w:hAnsi="Arial" w:cs="Arial"/>
          <w:b/>
          <w:bCs/>
          <w:color w:val="000000" w:themeColor="text1"/>
          <w:sz w:val="24"/>
          <w:szCs w:val="24"/>
          <w:lang w:val="en-GB"/>
        </w:rPr>
        <w:t>Cebekhulu</w:t>
      </w:r>
      <w:proofErr w:type="spellEnd"/>
      <w:r w:rsidRPr="0051601D">
        <w:rPr>
          <w:rFonts w:ascii="Arial" w:eastAsia="Times New Roman" w:hAnsi="Arial" w:cs="Arial"/>
          <w:b/>
          <w:bCs/>
          <w:sz w:val="24"/>
          <w:szCs w:val="24"/>
          <w:lang w:val="en-GB"/>
        </w:rPr>
        <w:t xml:space="preserve"> </w:t>
      </w:r>
      <w:r w:rsidRPr="0051601D">
        <w:rPr>
          <w:rFonts w:ascii="Arial" w:hAnsi="Arial" w:cs="Arial"/>
          <w:b/>
          <w:bCs/>
          <w:sz w:val="24"/>
          <w:szCs w:val="24"/>
          <w:lang w:val="en-GB"/>
        </w:rPr>
        <w:t xml:space="preserve">(IFP) </w:t>
      </w:r>
      <w:r w:rsidRPr="0051601D">
        <w:rPr>
          <w:rFonts w:ascii="Arial" w:eastAsia="Times New Roman" w:hAnsi="Arial" w:cs="Arial"/>
          <w:b/>
          <w:bCs/>
          <w:sz w:val="24"/>
          <w:szCs w:val="24"/>
          <w:lang w:val="en-GB"/>
        </w:rPr>
        <w:t>to ask the Minister of Public Service and Administration</w:t>
      </w:r>
      <w:r w:rsidR="002136B3" w:rsidRPr="0051601D">
        <w:rPr>
          <w:rFonts w:ascii="Arial" w:eastAsia="Times New Roman" w:hAnsi="Arial" w:cs="Arial"/>
          <w:b/>
          <w:bCs/>
          <w:sz w:val="24"/>
          <w:szCs w:val="24"/>
          <w:lang w:val="en-GB"/>
        </w:rPr>
        <w:fldChar w:fldCharType="begin"/>
      </w:r>
      <w:r w:rsidRPr="0051601D">
        <w:rPr>
          <w:rFonts w:ascii="Arial" w:hAnsi="Arial" w:cs="Arial"/>
          <w:sz w:val="24"/>
          <w:szCs w:val="24"/>
        </w:rPr>
        <w:instrText xml:space="preserve"> XE "</w:instrText>
      </w:r>
      <w:r w:rsidRPr="0051601D">
        <w:rPr>
          <w:rFonts w:ascii="Arial" w:hAnsi="Arial" w:cs="Arial"/>
          <w:b/>
          <w:sz w:val="24"/>
          <w:szCs w:val="24"/>
        </w:rPr>
        <w:instrText>Minister of Public Service and Administration</w:instrText>
      </w:r>
      <w:r w:rsidRPr="0051601D">
        <w:rPr>
          <w:rFonts w:ascii="Arial" w:hAnsi="Arial" w:cs="Arial"/>
          <w:sz w:val="24"/>
          <w:szCs w:val="24"/>
        </w:rPr>
        <w:instrText xml:space="preserve">" </w:instrText>
      </w:r>
      <w:r w:rsidR="002136B3" w:rsidRPr="0051601D">
        <w:rPr>
          <w:rFonts w:ascii="Arial" w:eastAsia="Times New Roman" w:hAnsi="Arial" w:cs="Arial"/>
          <w:b/>
          <w:bCs/>
          <w:sz w:val="24"/>
          <w:szCs w:val="24"/>
          <w:lang w:val="en-GB"/>
        </w:rPr>
        <w:fldChar w:fldCharType="end"/>
      </w:r>
      <w:r w:rsidRPr="0051601D">
        <w:rPr>
          <w:rFonts w:ascii="Arial" w:hAnsi="Arial" w:cs="Arial"/>
          <w:b/>
          <w:bCs/>
          <w:sz w:val="24"/>
          <w:szCs w:val="24"/>
          <w:lang w:val="en-GB"/>
        </w:rPr>
        <w:t>:</w:t>
      </w:r>
    </w:p>
    <w:p w:rsidR="00C73699" w:rsidRPr="0051601D" w:rsidRDefault="00C73699" w:rsidP="00C73699">
      <w:pPr>
        <w:spacing w:before="240" w:line="240" w:lineRule="auto"/>
        <w:ind w:right="180"/>
        <w:jc w:val="both"/>
        <w:rPr>
          <w:rFonts w:ascii="Arial" w:hAnsi="Arial" w:cs="Arial"/>
          <w:sz w:val="24"/>
          <w:szCs w:val="24"/>
          <w:lang w:val="en-GB"/>
        </w:rPr>
      </w:pPr>
      <w:r w:rsidRPr="0051601D">
        <w:rPr>
          <w:rFonts w:ascii="Arial" w:hAnsi="Arial" w:cs="Arial"/>
          <w:sz w:val="24"/>
          <w:szCs w:val="24"/>
          <w:lang w:val="en-GB"/>
        </w:rPr>
        <w:t>(a) What are the relevant details regarding the (</w:t>
      </w:r>
      <w:proofErr w:type="spellStart"/>
      <w:r w:rsidRPr="0051601D">
        <w:rPr>
          <w:rFonts w:ascii="Arial" w:hAnsi="Arial" w:cs="Arial"/>
          <w:sz w:val="24"/>
          <w:szCs w:val="24"/>
          <w:lang w:val="en-GB"/>
        </w:rPr>
        <w:t>i</w:t>
      </w:r>
      <w:proofErr w:type="spellEnd"/>
      <w:r w:rsidRPr="0051601D">
        <w:rPr>
          <w:rFonts w:ascii="Arial" w:hAnsi="Arial" w:cs="Arial"/>
          <w:sz w:val="24"/>
          <w:szCs w:val="24"/>
          <w:lang w:val="en-GB"/>
        </w:rPr>
        <w:t xml:space="preserve">) latest update on the Future of Work Ambassadors programme and (ii) selection process of the 33 graduates in the specified programme, (b) where </w:t>
      </w:r>
      <w:r w:rsidRPr="0051601D">
        <w:rPr>
          <w:rFonts w:ascii="Arial" w:hAnsi="Arial" w:cs="Arial"/>
          <w:sz w:val="24"/>
          <w:szCs w:val="24"/>
        </w:rPr>
        <w:t>have</w:t>
      </w:r>
      <w:r w:rsidRPr="0051601D">
        <w:rPr>
          <w:rFonts w:ascii="Arial" w:hAnsi="Arial" w:cs="Arial"/>
          <w:sz w:val="24"/>
          <w:szCs w:val="24"/>
          <w:lang w:val="en-GB"/>
        </w:rPr>
        <w:t xml:space="preserve"> the graduates been placed and (c) what monitoring and evaluation plans have been put in </w:t>
      </w:r>
      <w:r w:rsidRPr="0051601D">
        <w:rPr>
          <w:rFonts w:ascii="Arial" w:hAnsi="Arial" w:cs="Arial"/>
          <w:sz w:val="24"/>
          <w:szCs w:val="24"/>
        </w:rPr>
        <w:t>place</w:t>
      </w:r>
      <w:r w:rsidRPr="0051601D">
        <w:rPr>
          <w:rFonts w:ascii="Arial" w:hAnsi="Arial" w:cs="Arial"/>
          <w:sz w:val="24"/>
          <w:szCs w:val="24"/>
          <w:lang w:val="en-GB"/>
        </w:rPr>
        <w:t xml:space="preserve"> to track the progress and performance of the selected graduates?</w:t>
      </w:r>
      <w:r w:rsidRPr="0051601D">
        <w:rPr>
          <w:rFonts w:ascii="Arial" w:hAnsi="Arial" w:cs="Arial"/>
          <w:sz w:val="24"/>
          <w:szCs w:val="24"/>
          <w:lang w:val="en-GB"/>
        </w:rPr>
        <w:tab/>
      </w:r>
      <w:r w:rsidRPr="0051601D">
        <w:rPr>
          <w:rFonts w:ascii="Arial" w:hAnsi="Arial" w:cs="Arial"/>
          <w:sz w:val="24"/>
          <w:szCs w:val="24"/>
          <w:lang w:val="en-GB"/>
        </w:rPr>
        <w:tab/>
      </w:r>
      <w:r w:rsidRPr="0051601D">
        <w:rPr>
          <w:rFonts w:ascii="Arial" w:hAnsi="Arial" w:cs="Arial"/>
          <w:sz w:val="24"/>
          <w:szCs w:val="24"/>
          <w:lang w:val="en-GB"/>
        </w:rPr>
        <w:tab/>
      </w:r>
      <w:r w:rsidRPr="0051601D">
        <w:rPr>
          <w:rFonts w:ascii="Arial" w:hAnsi="Arial" w:cs="Arial"/>
          <w:sz w:val="24"/>
          <w:szCs w:val="24"/>
          <w:lang w:val="en-GB"/>
        </w:rPr>
        <w:tab/>
      </w:r>
      <w:r w:rsidRPr="0051601D">
        <w:rPr>
          <w:rFonts w:ascii="Arial" w:hAnsi="Arial" w:cs="Arial"/>
          <w:sz w:val="24"/>
          <w:szCs w:val="24"/>
          <w:lang w:val="en-GB"/>
        </w:rPr>
        <w:tab/>
      </w:r>
      <w:r>
        <w:rPr>
          <w:rFonts w:ascii="Arial" w:hAnsi="Arial" w:cs="Arial"/>
          <w:sz w:val="24"/>
          <w:szCs w:val="24"/>
          <w:lang w:val="en-GB"/>
        </w:rPr>
        <w:t xml:space="preserve">       </w:t>
      </w:r>
      <w:r w:rsidRPr="0051601D">
        <w:rPr>
          <w:rFonts w:ascii="Arial" w:hAnsi="Arial" w:cs="Arial"/>
          <w:b/>
          <w:sz w:val="24"/>
          <w:szCs w:val="24"/>
        </w:rPr>
        <w:t>NW5148E</w:t>
      </w:r>
    </w:p>
    <w:p w:rsidR="00C73699" w:rsidRDefault="00C73699" w:rsidP="00C73699">
      <w:pPr>
        <w:spacing w:before="100" w:beforeAutospacing="1" w:after="100" w:afterAutospacing="1" w:line="240" w:lineRule="auto"/>
        <w:ind w:right="180"/>
        <w:jc w:val="both"/>
        <w:outlineLvl w:val="0"/>
        <w:rPr>
          <w:rFonts w:ascii="Arial" w:eastAsia="Calibri" w:hAnsi="Arial" w:cs="Arial"/>
          <w:b/>
          <w:sz w:val="24"/>
          <w:szCs w:val="24"/>
        </w:rPr>
      </w:pPr>
      <w:r w:rsidRPr="008A5D33">
        <w:rPr>
          <w:rFonts w:ascii="Arial" w:eastAsia="Calibri" w:hAnsi="Arial" w:cs="Arial"/>
          <w:b/>
          <w:sz w:val="24"/>
          <w:szCs w:val="24"/>
        </w:rPr>
        <w:t xml:space="preserve">REPLY: </w:t>
      </w:r>
    </w:p>
    <w:p w:rsidR="00C73699" w:rsidRPr="00093C09" w:rsidRDefault="00C73699" w:rsidP="00C73699">
      <w:pPr>
        <w:spacing w:before="100" w:beforeAutospacing="1" w:after="100" w:afterAutospacing="1" w:line="240" w:lineRule="auto"/>
        <w:ind w:right="180"/>
        <w:jc w:val="both"/>
        <w:outlineLvl w:val="0"/>
        <w:rPr>
          <w:rFonts w:ascii="Arial" w:hAnsi="Arial" w:cs="Arial"/>
          <w:color w:val="000000" w:themeColor="text1"/>
          <w:shd w:val="clear" w:color="auto" w:fill="FFFFFF"/>
        </w:rPr>
      </w:pPr>
      <w:r w:rsidRPr="00093C09">
        <w:rPr>
          <w:rFonts w:ascii="Arial" w:eastAsia="Calibri" w:hAnsi="Arial" w:cs="Arial"/>
          <w:color w:val="000000" w:themeColor="text1"/>
        </w:rPr>
        <w:t xml:space="preserve">The Future of Work Ambassadors Programme is an initiative championed by the Department of Public Service and Administration (DPSA) in partnership with the Public Service Sector Education Authority (PSETA) and the National Youth Development Agency (NYDA). </w:t>
      </w:r>
      <w:r w:rsidRPr="00093C09">
        <w:rPr>
          <w:rStyle w:val="normaltextrun"/>
          <w:rFonts w:ascii="Arial" w:hAnsi="Arial" w:cs="Arial"/>
          <w:color w:val="000000" w:themeColor="text1"/>
        </w:rPr>
        <w:t xml:space="preserve">This programme is envisioned to </w:t>
      </w:r>
      <w:r w:rsidRPr="00093C09">
        <w:rPr>
          <w:rFonts w:ascii="Arial" w:hAnsi="Arial" w:cs="Arial"/>
          <w:color w:val="000000" w:themeColor="text1"/>
          <w:shd w:val="clear" w:color="auto" w:fill="FFFFFF"/>
        </w:rPr>
        <w:t xml:space="preserve">contribute positively towards building a leadership pipeline for realising a capable, ethical and developmental public service in line with Chapter 13 of the </w:t>
      </w:r>
      <w:r w:rsidRPr="00093C09">
        <w:rPr>
          <w:rStyle w:val="normaltextrun"/>
          <w:rFonts w:ascii="Arial" w:hAnsi="Arial" w:cs="Arial"/>
          <w:color w:val="000000" w:themeColor="text1"/>
        </w:rPr>
        <w:t>National Development Plan and Priority 1 of the Medium-</w:t>
      </w:r>
      <w:r w:rsidRPr="00093C09">
        <w:rPr>
          <w:rFonts w:ascii="Arial" w:eastAsia="Calibri" w:hAnsi="Arial" w:cs="Arial"/>
          <w:color w:val="000000" w:themeColor="text1"/>
        </w:rPr>
        <w:t>Term</w:t>
      </w:r>
      <w:r w:rsidRPr="00093C09">
        <w:rPr>
          <w:rStyle w:val="normaltextrun"/>
          <w:rFonts w:ascii="Arial" w:hAnsi="Arial" w:cs="Arial"/>
          <w:color w:val="000000" w:themeColor="text1"/>
        </w:rPr>
        <w:t xml:space="preserve"> </w:t>
      </w:r>
      <w:r w:rsidRPr="00093C09">
        <w:rPr>
          <w:rFonts w:ascii="Arial" w:eastAsia="Calibri" w:hAnsi="Arial" w:cs="Arial"/>
          <w:color w:val="000000" w:themeColor="text1"/>
        </w:rPr>
        <w:t>Strategic</w:t>
      </w:r>
      <w:r w:rsidRPr="00093C09">
        <w:rPr>
          <w:rStyle w:val="normaltextrun"/>
          <w:rFonts w:ascii="Arial" w:hAnsi="Arial" w:cs="Arial"/>
          <w:color w:val="000000" w:themeColor="text1"/>
        </w:rPr>
        <w:t xml:space="preserve"> Framework</w:t>
      </w:r>
      <w:r w:rsidRPr="00093C09">
        <w:rPr>
          <w:rFonts w:ascii="Arial" w:hAnsi="Arial" w:cs="Arial"/>
          <w:color w:val="000000" w:themeColor="text1"/>
          <w:shd w:val="clear" w:color="auto" w:fill="FFFFFF"/>
        </w:rPr>
        <w:t xml:space="preserve">. </w:t>
      </w:r>
    </w:p>
    <w:p w:rsidR="00C73699" w:rsidRPr="005F0489" w:rsidRDefault="00C73699" w:rsidP="00C73699">
      <w:pPr>
        <w:spacing w:before="100" w:beforeAutospacing="1" w:after="100" w:afterAutospacing="1" w:line="240" w:lineRule="auto"/>
        <w:ind w:right="180"/>
        <w:jc w:val="both"/>
        <w:outlineLvl w:val="0"/>
        <w:rPr>
          <w:rFonts w:ascii="Arial" w:hAnsi="Arial" w:cs="Arial"/>
          <w:color w:val="000000" w:themeColor="text1"/>
        </w:rPr>
      </w:pPr>
      <w:r w:rsidRPr="00093C09">
        <w:rPr>
          <w:rFonts w:ascii="Arial" w:hAnsi="Arial" w:cs="Arial"/>
          <w:color w:val="000000" w:themeColor="text1"/>
        </w:rPr>
        <w:t xml:space="preserve">The programme is fully funded by the PSETA, with the NYDA responsible for the recruitment process; HR-related matters including administration of the stipend over the 24-month period. The DPSA is responsible for the coordination, content creation and capacity building/training activities and placement of the </w:t>
      </w:r>
      <w:r w:rsidRPr="00093C09">
        <w:rPr>
          <w:rStyle w:val="normaltextrun"/>
          <w:rFonts w:ascii="Arial" w:hAnsi="Arial" w:cs="Arial"/>
          <w:color w:val="000000" w:themeColor="text1"/>
        </w:rPr>
        <w:t xml:space="preserve">candidates. </w:t>
      </w:r>
    </w:p>
    <w:p w:rsidR="00C73699" w:rsidRPr="00093C09" w:rsidRDefault="00C73699" w:rsidP="00C73699">
      <w:pPr>
        <w:spacing w:before="240" w:line="240" w:lineRule="auto"/>
        <w:ind w:left="360" w:right="180"/>
        <w:jc w:val="both"/>
        <w:rPr>
          <w:rFonts w:ascii="Arial" w:hAnsi="Arial" w:cs="Arial"/>
          <w:color w:val="000000" w:themeColor="text1"/>
        </w:rPr>
      </w:pPr>
      <w:r w:rsidRPr="005F0489">
        <w:rPr>
          <w:rFonts w:ascii="Arial" w:hAnsi="Arial" w:cs="Arial"/>
          <w:b/>
          <w:bCs/>
          <w:color w:val="000000" w:themeColor="text1"/>
          <w:lang w:val="en-GB"/>
        </w:rPr>
        <w:t>(a)(</w:t>
      </w:r>
      <w:proofErr w:type="spellStart"/>
      <w:r w:rsidRPr="005F0489">
        <w:rPr>
          <w:rFonts w:ascii="Arial" w:hAnsi="Arial" w:cs="Arial"/>
          <w:b/>
          <w:bCs/>
          <w:color w:val="000000" w:themeColor="text1"/>
          <w:lang w:val="en-GB"/>
        </w:rPr>
        <w:t>i</w:t>
      </w:r>
      <w:proofErr w:type="spellEnd"/>
      <w:r w:rsidRPr="005F0489">
        <w:rPr>
          <w:rFonts w:ascii="Arial" w:hAnsi="Arial" w:cs="Arial"/>
          <w:b/>
          <w:bCs/>
          <w:color w:val="000000" w:themeColor="text1"/>
          <w:lang w:val="en-GB"/>
        </w:rPr>
        <w:t>)</w:t>
      </w:r>
      <w:r w:rsidRPr="005F0489">
        <w:rPr>
          <w:rFonts w:ascii="Arial" w:hAnsi="Arial" w:cs="Arial"/>
          <w:bCs/>
          <w:color w:val="000000" w:themeColor="text1"/>
          <w:lang w:val="en-GB"/>
        </w:rPr>
        <w:t xml:space="preserve"> In terms of the latest update</w:t>
      </w:r>
      <w:r w:rsidRPr="00093C09">
        <w:rPr>
          <w:rFonts w:ascii="Arial" w:hAnsi="Arial" w:cs="Arial"/>
          <w:color w:val="000000" w:themeColor="text1"/>
          <w:lang w:val="en-GB"/>
        </w:rPr>
        <w:t xml:space="preserve"> on the Future of Work Ambassadors programme, 33 candidates were appointed for the programme, </w:t>
      </w:r>
      <w:r w:rsidRPr="00093C09">
        <w:rPr>
          <w:rFonts w:ascii="Arial" w:hAnsi="Arial" w:cs="Arial"/>
          <w:color w:val="000000" w:themeColor="text1"/>
        </w:rPr>
        <w:t xml:space="preserve">four (4) resignations were received, where 3 of them left for greener pastures and one for personal reasons. One (1) candidate is currently on maternity leave. The ambassadors are exposed to job seeking skills, effective writing of resumes and practical exposure to the workplace, which makes them effective at looking for jobs and being attractive job seekers. Additionally, the Ambassadors are currently being exposed to: </w:t>
      </w:r>
    </w:p>
    <w:p w:rsidR="00C73699" w:rsidRPr="00093C09" w:rsidRDefault="00C73699" w:rsidP="00C73699">
      <w:pPr>
        <w:pStyle w:val="ListParagraph"/>
        <w:numPr>
          <w:ilvl w:val="0"/>
          <w:numId w:val="2"/>
        </w:numPr>
        <w:spacing w:before="100" w:beforeAutospacing="1" w:after="100" w:afterAutospacing="1" w:line="240" w:lineRule="auto"/>
        <w:ind w:right="180"/>
        <w:jc w:val="both"/>
        <w:outlineLvl w:val="0"/>
        <w:rPr>
          <w:rFonts w:ascii="Arial" w:eastAsia="Calibri" w:hAnsi="Arial" w:cs="Arial"/>
          <w:color w:val="000000" w:themeColor="text1"/>
        </w:rPr>
      </w:pPr>
      <w:r w:rsidRPr="00093C09">
        <w:rPr>
          <w:rFonts w:ascii="Arial" w:hAnsi="Arial" w:cs="Arial"/>
          <w:color w:val="000000" w:themeColor="text1"/>
        </w:rPr>
        <w:lastRenderedPageBreak/>
        <w:t xml:space="preserve">Capacity building and training opportunities by the National School of Government (NSG); </w:t>
      </w:r>
    </w:p>
    <w:p w:rsidR="00C73699" w:rsidRPr="00093C09" w:rsidRDefault="00C73699" w:rsidP="00C73699">
      <w:pPr>
        <w:pStyle w:val="ListParagraph"/>
        <w:numPr>
          <w:ilvl w:val="0"/>
          <w:numId w:val="2"/>
        </w:numPr>
        <w:spacing w:before="100" w:beforeAutospacing="1" w:after="100" w:afterAutospacing="1" w:line="240" w:lineRule="auto"/>
        <w:ind w:right="180"/>
        <w:jc w:val="both"/>
        <w:outlineLvl w:val="0"/>
        <w:rPr>
          <w:rFonts w:ascii="Arial" w:hAnsi="Arial" w:cs="Arial"/>
          <w:color w:val="000000" w:themeColor="text1"/>
        </w:rPr>
      </w:pPr>
      <w:r w:rsidRPr="00093C09">
        <w:rPr>
          <w:rFonts w:ascii="Arial" w:eastAsia="Calibri" w:hAnsi="Arial" w:cs="Arial"/>
          <w:color w:val="000000" w:themeColor="text1"/>
        </w:rPr>
        <w:t xml:space="preserve">A 6-month digital and soft skills online course provided by the United Nations Development Programme (UNDP); </w:t>
      </w:r>
    </w:p>
    <w:p w:rsidR="00C73699" w:rsidRPr="00093C09" w:rsidRDefault="00C73699" w:rsidP="00C73699">
      <w:pPr>
        <w:pStyle w:val="ListParagraph"/>
        <w:numPr>
          <w:ilvl w:val="0"/>
          <w:numId w:val="2"/>
        </w:numPr>
        <w:spacing w:before="100" w:beforeAutospacing="1" w:after="100" w:afterAutospacing="1" w:line="240" w:lineRule="auto"/>
        <w:ind w:right="180"/>
        <w:jc w:val="both"/>
        <w:outlineLvl w:val="0"/>
        <w:rPr>
          <w:rFonts w:ascii="Arial" w:hAnsi="Arial" w:cs="Arial"/>
          <w:color w:val="000000" w:themeColor="text1"/>
        </w:rPr>
      </w:pPr>
      <w:r w:rsidRPr="00093C09">
        <w:rPr>
          <w:rFonts w:ascii="Arial" w:eastAsia="Calibri" w:hAnsi="Arial" w:cs="Arial"/>
          <w:color w:val="000000" w:themeColor="text1"/>
        </w:rPr>
        <w:t>Compulsory Induction Programmes for the Public Sector by the National School of Government (NSG); and</w:t>
      </w:r>
    </w:p>
    <w:p w:rsidR="00C73699" w:rsidRPr="00093C09" w:rsidRDefault="00C73699" w:rsidP="00C73699">
      <w:pPr>
        <w:pStyle w:val="ListParagraph"/>
        <w:numPr>
          <w:ilvl w:val="0"/>
          <w:numId w:val="2"/>
        </w:numPr>
        <w:spacing w:before="100" w:beforeAutospacing="1" w:after="100" w:afterAutospacing="1" w:line="240" w:lineRule="auto"/>
        <w:ind w:right="180"/>
        <w:jc w:val="both"/>
        <w:outlineLvl w:val="0"/>
        <w:rPr>
          <w:rFonts w:ascii="Arial" w:hAnsi="Arial" w:cs="Arial"/>
          <w:color w:val="000000" w:themeColor="text1"/>
        </w:rPr>
      </w:pPr>
      <w:r w:rsidRPr="00093C09">
        <w:rPr>
          <w:rFonts w:ascii="Arial" w:eastAsia="Calibri" w:hAnsi="Arial" w:cs="Arial"/>
          <w:color w:val="000000" w:themeColor="text1"/>
        </w:rPr>
        <w:t xml:space="preserve">A </w:t>
      </w:r>
      <w:r w:rsidRPr="00093C09">
        <w:rPr>
          <w:rFonts w:ascii="Arial" w:hAnsi="Arial" w:cs="Arial"/>
          <w:color w:val="000000" w:themeColor="text1"/>
        </w:rPr>
        <w:t>structured leadership coaching and mentorship programme for 12 months run and coordinated by the DPSA.</w:t>
      </w:r>
    </w:p>
    <w:p w:rsidR="00C73699" w:rsidRPr="00093C09" w:rsidRDefault="00C73699" w:rsidP="00C73699">
      <w:pPr>
        <w:pStyle w:val="ListParagraph"/>
        <w:spacing w:before="100" w:beforeAutospacing="1" w:after="100" w:afterAutospacing="1" w:line="240" w:lineRule="auto"/>
        <w:ind w:left="1440" w:right="180"/>
        <w:jc w:val="both"/>
        <w:outlineLvl w:val="0"/>
        <w:rPr>
          <w:rFonts w:ascii="Arial" w:hAnsi="Arial" w:cs="Arial"/>
          <w:color w:val="000000" w:themeColor="text1"/>
        </w:rPr>
      </w:pPr>
    </w:p>
    <w:p w:rsidR="00C73699" w:rsidRPr="00093C09" w:rsidRDefault="00C73699" w:rsidP="00C73699">
      <w:pPr>
        <w:spacing w:before="240" w:line="240" w:lineRule="auto"/>
        <w:ind w:left="567" w:right="180" w:hanging="567"/>
        <w:jc w:val="both"/>
        <w:rPr>
          <w:rFonts w:ascii="Arial" w:hAnsi="Arial" w:cs="Arial"/>
          <w:color w:val="000000" w:themeColor="text1"/>
          <w:lang w:val="en-GB"/>
        </w:rPr>
      </w:pPr>
      <w:r w:rsidRPr="005F0489">
        <w:rPr>
          <w:rFonts w:ascii="Arial" w:hAnsi="Arial" w:cs="Arial"/>
          <w:b/>
          <w:color w:val="000000" w:themeColor="text1"/>
          <w:lang w:val="en-GB"/>
        </w:rPr>
        <w:t>(a)(ii)</w:t>
      </w:r>
      <w:r>
        <w:rPr>
          <w:rFonts w:ascii="Arial" w:hAnsi="Arial" w:cs="Arial"/>
          <w:color w:val="000000" w:themeColor="text1"/>
          <w:lang w:val="en-GB"/>
        </w:rPr>
        <w:t xml:space="preserve"> </w:t>
      </w:r>
      <w:r w:rsidRPr="00093C09">
        <w:rPr>
          <w:rFonts w:ascii="Arial" w:hAnsi="Arial" w:cs="Arial"/>
          <w:color w:val="000000" w:themeColor="text1"/>
          <w:lang w:val="en-GB"/>
        </w:rPr>
        <w:t xml:space="preserve">The selection </w:t>
      </w:r>
      <w:r w:rsidRPr="00093C09">
        <w:rPr>
          <w:rFonts w:ascii="Arial" w:hAnsi="Arial" w:cs="Arial"/>
          <w:b/>
          <w:bCs/>
          <w:color w:val="000000" w:themeColor="text1"/>
          <w:lang w:val="en-GB"/>
        </w:rPr>
        <w:t>process</w:t>
      </w:r>
      <w:r w:rsidRPr="00093C09">
        <w:rPr>
          <w:rFonts w:ascii="Arial" w:hAnsi="Arial" w:cs="Arial"/>
          <w:color w:val="000000" w:themeColor="text1"/>
          <w:lang w:val="en-GB"/>
        </w:rPr>
        <w:t xml:space="preserve"> of the 33 graduates in the specified programme included the following process: </w:t>
      </w:r>
    </w:p>
    <w:p w:rsidR="00C73699" w:rsidRPr="00093C09" w:rsidRDefault="00C73699" w:rsidP="00C73699">
      <w:pPr>
        <w:pStyle w:val="ListParagraph"/>
        <w:numPr>
          <w:ilvl w:val="1"/>
          <w:numId w:val="1"/>
        </w:numPr>
        <w:spacing w:before="240" w:line="240" w:lineRule="auto"/>
        <w:ind w:right="180"/>
        <w:jc w:val="both"/>
        <w:rPr>
          <w:rFonts w:ascii="Arial" w:hAnsi="Arial" w:cs="Arial"/>
          <w:color w:val="000000" w:themeColor="text1"/>
          <w:lang w:val="en-GB"/>
        </w:rPr>
      </w:pPr>
      <w:r w:rsidRPr="00093C09">
        <w:rPr>
          <w:rFonts w:ascii="Arial" w:hAnsi="Arial" w:cs="Arial"/>
          <w:color w:val="000000" w:themeColor="text1"/>
          <w:lang w:val="en-GB"/>
        </w:rPr>
        <w:t xml:space="preserve">PSETA and DPSA defined the specific skills to be funded which were linked to the mandate of the Public Sector and PSETA; </w:t>
      </w:r>
    </w:p>
    <w:p w:rsidR="00C73699" w:rsidRPr="00093C09" w:rsidRDefault="00C73699" w:rsidP="00C73699">
      <w:pPr>
        <w:pStyle w:val="ListParagraph"/>
        <w:numPr>
          <w:ilvl w:val="1"/>
          <w:numId w:val="1"/>
        </w:numPr>
        <w:spacing w:before="240" w:line="240" w:lineRule="auto"/>
        <w:ind w:right="180"/>
        <w:jc w:val="both"/>
        <w:rPr>
          <w:rFonts w:ascii="Arial" w:hAnsi="Arial" w:cs="Arial"/>
          <w:color w:val="000000" w:themeColor="text1"/>
          <w:lang w:val="en-GB"/>
        </w:rPr>
      </w:pPr>
      <w:r w:rsidRPr="00093C09">
        <w:rPr>
          <w:rFonts w:ascii="Arial" w:hAnsi="Arial" w:cs="Arial"/>
          <w:color w:val="000000" w:themeColor="text1"/>
          <w:lang w:val="en-GB"/>
        </w:rPr>
        <w:t xml:space="preserve">Provincial and National Departments were requested through FOSAD to indicate interest and readiness to host Ambassadors; </w:t>
      </w:r>
    </w:p>
    <w:p w:rsidR="00C73699" w:rsidRPr="00093C09" w:rsidRDefault="00C73699" w:rsidP="00C73699">
      <w:pPr>
        <w:pStyle w:val="ListParagraph"/>
        <w:numPr>
          <w:ilvl w:val="1"/>
          <w:numId w:val="1"/>
        </w:numPr>
        <w:spacing w:before="240" w:line="240" w:lineRule="auto"/>
        <w:ind w:right="180"/>
        <w:jc w:val="both"/>
        <w:rPr>
          <w:rFonts w:ascii="Arial" w:hAnsi="Arial" w:cs="Arial"/>
          <w:color w:val="000000" w:themeColor="text1"/>
          <w:lang w:val="en-GB"/>
        </w:rPr>
      </w:pPr>
      <w:r w:rsidRPr="00093C09">
        <w:rPr>
          <w:rFonts w:ascii="Arial" w:hAnsi="Arial" w:cs="Arial"/>
          <w:color w:val="000000" w:themeColor="text1"/>
        </w:rPr>
        <w:t xml:space="preserve">All host departments were given an opportunity to select their qualification areas based on the prescribed list provided by PSETA, such as:  </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Financial and Supply Chain Management</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Law</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Risk Management</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Human Resource Management</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Communications</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 xml:space="preserve">Marketing Management </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Public Management</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Public Administration</w:t>
      </w:r>
    </w:p>
    <w:p w:rsidR="00C73699" w:rsidRPr="00093C09" w:rsidRDefault="00C73699" w:rsidP="00C73699">
      <w:pPr>
        <w:pStyle w:val="ListParagraph"/>
        <w:numPr>
          <w:ilvl w:val="2"/>
          <w:numId w:val="3"/>
        </w:numPr>
        <w:spacing w:after="0" w:line="276" w:lineRule="auto"/>
        <w:jc w:val="both"/>
        <w:rPr>
          <w:rFonts w:ascii="Arial" w:hAnsi="Arial" w:cs="Arial"/>
          <w:b/>
          <w:color w:val="000000" w:themeColor="text1"/>
        </w:rPr>
      </w:pPr>
      <w:r w:rsidRPr="00093C09">
        <w:rPr>
          <w:rFonts w:ascii="Arial" w:hAnsi="Arial" w:cs="Arial"/>
          <w:color w:val="000000" w:themeColor="text1"/>
        </w:rPr>
        <w:t>Internal Audit</w:t>
      </w:r>
    </w:p>
    <w:p w:rsidR="00C73699" w:rsidRPr="00093C09" w:rsidRDefault="00C73699" w:rsidP="00C73699">
      <w:pPr>
        <w:pStyle w:val="ListParagraph"/>
        <w:numPr>
          <w:ilvl w:val="1"/>
          <w:numId w:val="1"/>
        </w:numPr>
        <w:spacing w:before="240" w:line="240" w:lineRule="auto"/>
        <w:ind w:right="180"/>
        <w:jc w:val="both"/>
        <w:rPr>
          <w:rFonts w:ascii="Arial" w:hAnsi="Arial" w:cs="Arial"/>
          <w:color w:val="000000" w:themeColor="text1"/>
          <w:lang w:val="en-GB"/>
        </w:rPr>
      </w:pPr>
      <w:r w:rsidRPr="00093C09">
        <w:rPr>
          <w:rFonts w:ascii="Arial" w:hAnsi="Arial" w:cs="Arial"/>
          <w:color w:val="000000" w:themeColor="text1"/>
        </w:rPr>
        <w:t xml:space="preserve">The NYDA used the information to generate an advertisement which was posted on the SAYouth.mobi platform. </w:t>
      </w:r>
    </w:p>
    <w:p w:rsidR="00C73699" w:rsidRPr="00093C09" w:rsidRDefault="00C73699" w:rsidP="00C73699">
      <w:pPr>
        <w:pStyle w:val="ListParagraph"/>
        <w:numPr>
          <w:ilvl w:val="1"/>
          <w:numId w:val="1"/>
        </w:numPr>
        <w:spacing w:before="240" w:line="240" w:lineRule="auto"/>
        <w:ind w:right="180"/>
        <w:jc w:val="both"/>
        <w:rPr>
          <w:rFonts w:ascii="Arial" w:hAnsi="Arial" w:cs="Arial"/>
          <w:color w:val="000000" w:themeColor="text1"/>
          <w:lang w:val="en-GB"/>
        </w:rPr>
      </w:pPr>
      <w:r w:rsidRPr="00093C09">
        <w:rPr>
          <w:rFonts w:ascii="Arial" w:hAnsi="Arial" w:cs="Arial"/>
          <w:color w:val="000000" w:themeColor="text1"/>
        </w:rPr>
        <w:t xml:space="preserve">The candidates were then shortlisted virtually and interviewed through the NYDA with the involvement of representatives from host departments on the panel. </w:t>
      </w:r>
    </w:p>
    <w:p w:rsidR="00C73699" w:rsidRPr="00093C09" w:rsidRDefault="00C73699" w:rsidP="00C73699">
      <w:pPr>
        <w:pStyle w:val="ListParagraph"/>
        <w:numPr>
          <w:ilvl w:val="1"/>
          <w:numId w:val="1"/>
        </w:numPr>
        <w:spacing w:before="240" w:line="240" w:lineRule="auto"/>
        <w:ind w:right="180"/>
        <w:jc w:val="both"/>
        <w:rPr>
          <w:rFonts w:ascii="Arial" w:hAnsi="Arial" w:cs="Arial"/>
          <w:color w:val="000000" w:themeColor="text1"/>
          <w:lang w:val="en-GB"/>
        </w:rPr>
      </w:pPr>
      <w:r w:rsidRPr="00093C09">
        <w:rPr>
          <w:rFonts w:ascii="Arial" w:hAnsi="Arial" w:cs="Arial"/>
          <w:color w:val="000000" w:themeColor="text1"/>
        </w:rPr>
        <w:t xml:space="preserve">Candidates were appointed and placed based on the recommendations of the panel. </w:t>
      </w:r>
    </w:p>
    <w:p w:rsidR="00C73699" w:rsidRPr="00093C09" w:rsidRDefault="00C73699" w:rsidP="00C73699">
      <w:pPr>
        <w:pStyle w:val="ListParagraph"/>
        <w:spacing w:before="100" w:beforeAutospacing="1" w:after="100" w:afterAutospacing="1" w:line="240" w:lineRule="auto"/>
        <w:ind w:right="180"/>
        <w:jc w:val="both"/>
        <w:outlineLvl w:val="0"/>
        <w:rPr>
          <w:rFonts w:ascii="Arial" w:eastAsia="Calibri" w:hAnsi="Arial" w:cs="Arial"/>
          <w:color w:val="000000" w:themeColor="text1"/>
        </w:rPr>
      </w:pPr>
    </w:p>
    <w:p w:rsidR="00C73699" w:rsidRPr="00093C09" w:rsidRDefault="00C73699" w:rsidP="00C73699">
      <w:pPr>
        <w:pStyle w:val="ListParagraph"/>
        <w:spacing w:before="100" w:beforeAutospacing="1" w:after="100" w:afterAutospacing="1" w:line="240" w:lineRule="auto"/>
        <w:ind w:left="1440" w:right="180"/>
        <w:jc w:val="both"/>
        <w:outlineLvl w:val="0"/>
        <w:rPr>
          <w:rFonts w:ascii="Arial" w:eastAsia="Calibri" w:hAnsi="Arial" w:cs="Arial"/>
          <w:color w:val="000000" w:themeColor="text1"/>
        </w:rPr>
      </w:pPr>
    </w:p>
    <w:p w:rsidR="00C73699" w:rsidRPr="00093C09" w:rsidRDefault="00C73699" w:rsidP="00C73699">
      <w:pPr>
        <w:pStyle w:val="ListParagraph"/>
        <w:spacing w:before="100" w:beforeAutospacing="1" w:after="100" w:afterAutospacing="1" w:line="240" w:lineRule="auto"/>
        <w:ind w:left="1440" w:right="180"/>
        <w:jc w:val="both"/>
        <w:outlineLvl w:val="0"/>
        <w:rPr>
          <w:rFonts w:ascii="Arial" w:eastAsia="Calibri" w:hAnsi="Arial" w:cs="Arial"/>
          <w:color w:val="000000" w:themeColor="text1"/>
        </w:rPr>
      </w:pPr>
    </w:p>
    <w:p w:rsidR="00C73699" w:rsidRPr="00093C09" w:rsidRDefault="00C73699" w:rsidP="00C73699">
      <w:pPr>
        <w:pStyle w:val="ListParagraph"/>
        <w:numPr>
          <w:ilvl w:val="0"/>
          <w:numId w:val="4"/>
        </w:numPr>
        <w:spacing w:before="100" w:beforeAutospacing="1" w:after="100" w:afterAutospacing="1" w:line="240" w:lineRule="auto"/>
        <w:ind w:right="180"/>
        <w:jc w:val="both"/>
        <w:outlineLvl w:val="0"/>
        <w:rPr>
          <w:rFonts w:ascii="Arial" w:eastAsia="Calibri" w:hAnsi="Arial" w:cs="Arial"/>
          <w:color w:val="000000" w:themeColor="text1"/>
        </w:rPr>
      </w:pPr>
      <w:r w:rsidRPr="00093C09">
        <w:rPr>
          <w:rFonts w:ascii="Arial" w:eastAsia="Calibri" w:hAnsi="Arial" w:cs="Arial"/>
          <w:color w:val="000000" w:themeColor="text1"/>
        </w:rPr>
        <w:t>The 33 Future of Work Ambassadors were allocated as follows:</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8"/>
        <w:gridCol w:w="2035"/>
      </w:tblGrid>
      <w:tr w:rsidR="00C73699" w:rsidRPr="00093C09" w:rsidTr="000E388B">
        <w:trPr>
          <w:trHeight w:val="530"/>
        </w:trPr>
        <w:tc>
          <w:tcPr>
            <w:tcW w:w="7128" w:type="dxa"/>
            <w:shd w:val="clear" w:color="auto" w:fill="auto"/>
            <w:vAlign w:val="bottom"/>
            <w:hideMark/>
          </w:tcPr>
          <w:p w:rsidR="00C73699" w:rsidRPr="00093C09" w:rsidRDefault="00C73699" w:rsidP="000E388B">
            <w:pPr>
              <w:spacing w:line="276" w:lineRule="auto"/>
              <w:jc w:val="center"/>
              <w:rPr>
                <w:rFonts w:ascii="Arial" w:hAnsi="Arial" w:cs="Arial"/>
                <w:bCs/>
                <w:color w:val="000000" w:themeColor="text1"/>
                <w:lang w:val="en-US"/>
              </w:rPr>
            </w:pPr>
            <w:r w:rsidRPr="00093C09">
              <w:rPr>
                <w:rFonts w:ascii="Arial" w:hAnsi="Arial" w:cs="Arial"/>
                <w:bCs/>
                <w:color w:val="000000" w:themeColor="text1"/>
                <w:lang w:val="en-US"/>
              </w:rPr>
              <w:t>National and Provincial Departments</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Cs/>
                <w:color w:val="000000" w:themeColor="text1"/>
                <w:lang w:val="en-US"/>
              </w:rPr>
            </w:pPr>
            <w:r w:rsidRPr="00093C09">
              <w:rPr>
                <w:rFonts w:ascii="Arial" w:hAnsi="Arial" w:cs="Arial"/>
                <w:bCs/>
                <w:color w:val="000000" w:themeColor="text1"/>
                <w:lang w:val="en-US"/>
              </w:rPr>
              <w:t>No. of Candidates</w:t>
            </w:r>
          </w:p>
        </w:tc>
      </w:tr>
      <w:tr w:rsidR="00C73699" w:rsidRPr="00093C09" w:rsidTr="000E388B">
        <w:trPr>
          <w:trHeight w:val="546"/>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Department of Youth, Women and Persons with Disabilities</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3</w:t>
            </w:r>
          </w:p>
        </w:tc>
      </w:tr>
      <w:tr w:rsidR="00C73699" w:rsidRPr="00093C09" w:rsidTr="000E388B">
        <w:trPr>
          <w:trHeight w:val="311"/>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Department of Planning, Monitoring &amp; Evaluation</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343"/>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Department of Cooperative Governance</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265"/>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KwaZulu-Natal Office of the Premier</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343"/>
        </w:trPr>
        <w:tc>
          <w:tcPr>
            <w:tcW w:w="7128" w:type="dxa"/>
            <w:shd w:val="clear" w:color="auto" w:fill="auto"/>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National School of Government</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4</w:t>
            </w:r>
          </w:p>
        </w:tc>
      </w:tr>
      <w:tr w:rsidR="00C73699" w:rsidRPr="00093C09" w:rsidTr="000E388B">
        <w:trPr>
          <w:trHeight w:val="265"/>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Public Service Commission</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1</w:t>
            </w:r>
          </w:p>
        </w:tc>
      </w:tr>
      <w:tr w:rsidR="00C73699" w:rsidRPr="00093C09" w:rsidTr="000E388B">
        <w:trPr>
          <w:trHeight w:val="286"/>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Department of Public Service and Administration</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5</w:t>
            </w:r>
          </w:p>
        </w:tc>
      </w:tr>
      <w:tr w:rsidR="00C73699" w:rsidRPr="00093C09" w:rsidTr="000E388B">
        <w:trPr>
          <w:trHeight w:val="311"/>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Justice and Constitutional Development</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3</w:t>
            </w:r>
          </w:p>
        </w:tc>
      </w:tr>
      <w:tr w:rsidR="00C73699" w:rsidRPr="00093C09" w:rsidTr="000E388B">
        <w:trPr>
          <w:trHeight w:val="319"/>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Department of Public Enterprise</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311"/>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Department of Forestry, Fisheries and the Environment</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400"/>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Mpumalanga Office of the Premier</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392"/>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Limpopo Office of the Premier</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3</w:t>
            </w:r>
          </w:p>
        </w:tc>
      </w:tr>
      <w:tr w:rsidR="00C73699" w:rsidRPr="00093C09" w:rsidTr="000E388B">
        <w:trPr>
          <w:trHeight w:val="400"/>
        </w:trPr>
        <w:tc>
          <w:tcPr>
            <w:tcW w:w="7128" w:type="dxa"/>
            <w:shd w:val="clear" w:color="auto" w:fill="auto"/>
            <w:vAlign w:val="bottom"/>
            <w:hideMark/>
          </w:tcPr>
          <w:p w:rsidR="00C73699" w:rsidRPr="00093C09" w:rsidRDefault="00C73699" w:rsidP="000E388B">
            <w:pPr>
              <w:spacing w:line="276" w:lineRule="auto"/>
              <w:rPr>
                <w:rFonts w:ascii="Arial" w:hAnsi="Arial" w:cs="Arial"/>
                <w:b/>
                <w:color w:val="000000" w:themeColor="text1"/>
                <w:lang w:val="en-US"/>
              </w:rPr>
            </w:pPr>
            <w:r w:rsidRPr="00093C09">
              <w:rPr>
                <w:rFonts w:ascii="Arial" w:hAnsi="Arial" w:cs="Arial"/>
                <w:color w:val="000000" w:themeColor="text1"/>
                <w:lang w:val="en-US"/>
              </w:rPr>
              <w:t>Western Cape Office of the Premier</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color w:val="000000" w:themeColor="text1"/>
                <w:lang w:val="en-US"/>
              </w:rPr>
            </w:pPr>
            <w:r w:rsidRPr="00093C09">
              <w:rPr>
                <w:rFonts w:ascii="Arial" w:hAnsi="Arial" w:cs="Arial"/>
                <w:color w:val="000000" w:themeColor="text1"/>
                <w:lang w:val="en-US"/>
              </w:rPr>
              <w:t>2</w:t>
            </w:r>
          </w:p>
        </w:tc>
      </w:tr>
      <w:tr w:rsidR="00C73699" w:rsidRPr="00093C09" w:rsidTr="000E388B">
        <w:trPr>
          <w:trHeight w:val="265"/>
        </w:trPr>
        <w:tc>
          <w:tcPr>
            <w:tcW w:w="7128" w:type="dxa"/>
            <w:shd w:val="clear" w:color="auto" w:fill="auto"/>
            <w:vAlign w:val="bottom"/>
            <w:hideMark/>
          </w:tcPr>
          <w:p w:rsidR="00C73699" w:rsidRPr="00093C09" w:rsidRDefault="00C73699" w:rsidP="000E388B">
            <w:pPr>
              <w:spacing w:line="276" w:lineRule="auto"/>
              <w:rPr>
                <w:rFonts w:ascii="Arial" w:hAnsi="Arial" w:cs="Arial"/>
                <w:b/>
                <w:bCs/>
                <w:color w:val="000000" w:themeColor="text1"/>
                <w:lang w:val="en-US"/>
              </w:rPr>
            </w:pPr>
            <w:r w:rsidRPr="00093C09">
              <w:rPr>
                <w:rFonts w:ascii="Arial" w:hAnsi="Arial" w:cs="Arial"/>
                <w:b/>
                <w:bCs/>
                <w:color w:val="000000" w:themeColor="text1"/>
                <w:lang w:val="en-US"/>
              </w:rPr>
              <w:t>TOTAL</w:t>
            </w:r>
          </w:p>
        </w:tc>
        <w:tc>
          <w:tcPr>
            <w:tcW w:w="2035" w:type="dxa"/>
            <w:shd w:val="clear" w:color="auto" w:fill="auto"/>
            <w:vAlign w:val="bottom"/>
            <w:hideMark/>
          </w:tcPr>
          <w:p w:rsidR="00C73699" w:rsidRPr="00093C09" w:rsidRDefault="00C73699" w:rsidP="000E388B">
            <w:pPr>
              <w:spacing w:line="276" w:lineRule="auto"/>
              <w:jc w:val="center"/>
              <w:rPr>
                <w:rFonts w:ascii="Arial" w:hAnsi="Arial" w:cs="Arial"/>
                <w:b/>
                <w:bCs/>
                <w:color w:val="000000" w:themeColor="text1"/>
                <w:lang w:val="en-US"/>
              </w:rPr>
            </w:pPr>
            <w:r w:rsidRPr="00093C09">
              <w:rPr>
                <w:rFonts w:ascii="Arial" w:hAnsi="Arial" w:cs="Arial"/>
                <w:b/>
                <w:bCs/>
                <w:color w:val="000000" w:themeColor="text1"/>
                <w:lang w:val="en-US"/>
              </w:rPr>
              <w:t>33</w:t>
            </w:r>
          </w:p>
        </w:tc>
      </w:tr>
    </w:tbl>
    <w:p w:rsidR="00C73699" w:rsidRPr="00093C09" w:rsidRDefault="00C73699" w:rsidP="00C73699">
      <w:pPr>
        <w:spacing w:before="100" w:beforeAutospacing="1" w:after="100" w:afterAutospacing="1" w:line="240" w:lineRule="auto"/>
        <w:ind w:right="180"/>
        <w:jc w:val="both"/>
        <w:outlineLvl w:val="0"/>
        <w:rPr>
          <w:rFonts w:ascii="Arial" w:eastAsia="Calibri" w:hAnsi="Arial" w:cs="Arial"/>
          <w:color w:val="000000" w:themeColor="text1"/>
        </w:rPr>
      </w:pPr>
      <w:r w:rsidRPr="005F0489">
        <w:rPr>
          <w:rFonts w:ascii="Arial" w:eastAsia="Calibri" w:hAnsi="Arial" w:cs="Arial"/>
          <w:b/>
          <w:color w:val="000000" w:themeColor="text1"/>
        </w:rPr>
        <w:t>(c)</w:t>
      </w:r>
      <w:r w:rsidRPr="00093C09">
        <w:rPr>
          <w:rFonts w:ascii="Arial" w:eastAsia="Calibri" w:hAnsi="Arial" w:cs="Arial"/>
          <w:color w:val="000000" w:themeColor="text1"/>
        </w:rPr>
        <w:t xml:space="preserve"> A number of monitoring and evaluation tools have been put in place, including the following: </w:t>
      </w:r>
    </w:p>
    <w:p w:rsidR="00C73699" w:rsidRPr="00093C09" w:rsidRDefault="00C73699" w:rsidP="00C73699">
      <w:pPr>
        <w:pStyle w:val="ListParagraph"/>
        <w:numPr>
          <w:ilvl w:val="1"/>
          <w:numId w:val="1"/>
        </w:numPr>
        <w:spacing w:before="100" w:beforeAutospacing="1" w:after="100" w:afterAutospacing="1" w:line="240" w:lineRule="auto"/>
        <w:ind w:left="709" w:right="180"/>
        <w:jc w:val="both"/>
        <w:outlineLvl w:val="0"/>
        <w:rPr>
          <w:rFonts w:ascii="Arial" w:eastAsia="Calibri" w:hAnsi="Arial" w:cs="Arial"/>
          <w:color w:val="000000" w:themeColor="text1"/>
        </w:rPr>
      </w:pPr>
      <w:r w:rsidRPr="00093C09">
        <w:rPr>
          <w:rFonts w:ascii="Arial" w:eastAsia="Calibri" w:hAnsi="Arial" w:cs="Arial"/>
          <w:color w:val="000000" w:themeColor="text1"/>
        </w:rPr>
        <w:t xml:space="preserve">Regular meetings of the core partners (DPSA, NYDA and PSETA) to discuss progress of the project; key trends and emerging lessons; </w:t>
      </w:r>
    </w:p>
    <w:p w:rsidR="00C73699" w:rsidRPr="00093C09" w:rsidRDefault="00C73699" w:rsidP="00C73699">
      <w:pPr>
        <w:pStyle w:val="ListParagraph"/>
        <w:numPr>
          <w:ilvl w:val="1"/>
          <w:numId w:val="1"/>
        </w:numPr>
        <w:spacing w:before="100" w:beforeAutospacing="1" w:after="100" w:afterAutospacing="1" w:line="240" w:lineRule="auto"/>
        <w:ind w:left="709" w:right="180"/>
        <w:jc w:val="both"/>
        <w:outlineLvl w:val="0"/>
        <w:rPr>
          <w:rFonts w:ascii="Arial" w:eastAsia="Calibri" w:hAnsi="Arial" w:cs="Arial"/>
          <w:color w:val="000000" w:themeColor="text1"/>
        </w:rPr>
      </w:pPr>
      <w:r w:rsidRPr="00093C09">
        <w:rPr>
          <w:rFonts w:ascii="Arial" w:eastAsia="Calibri" w:hAnsi="Arial" w:cs="Arial"/>
          <w:color w:val="000000" w:themeColor="text1"/>
        </w:rPr>
        <w:t xml:space="preserve"> The establishment of an interactive WhatsApp group where Ambassadors can engage the DPSA, PSETA and NYDA on issues they would like to raise and they provide peer support to each other; </w:t>
      </w:r>
    </w:p>
    <w:p w:rsidR="00C73699" w:rsidRPr="00093C09" w:rsidRDefault="00C73699" w:rsidP="00C73699">
      <w:pPr>
        <w:pStyle w:val="ListParagraph"/>
        <w:numPr>
          <w:ilvl w:val="1"/>
          <w:numId w:val="1"/>
        </w:numPr>
        <w:spacing w:before="100" w:beforeAutospacing="1" w:after="100" w:afterAutospacing="1" w:line="240" w:lineRule="auto"/>
        <w:ind w:left="709" w:right="180"/>
        <w:jc w:val="both"/>
        <w:outlineLvl w:val="0"/>
        <w:rPr>
          <w:rFonts w:ascii="Arial" w:eastAsia="Calibri" w:hAnsi="Arial" w:cs="Arial"/>
          <w:color w:val="000000" w:themeColor="text1"/>
        </w:rPr>
      </w:pPr>
      <w:r w:rsidRPr="00093C09">
        <w:rPr>
          <w:rFonts w:ascii="Arial" w:eastAsia="Calibri" w:hAnsi="Arial" w:cs="Arial"/>
          <w:color w:val="000000" w:themeColor="text1"/>
        </w:rPr>
        <w:t xml:space="preserve">The Ambassadors participate in bi-weekly virtual Live Learning Sessions on Fridays between 09h00 – 13h00. This allows them to receive immediate assistance should they be experiencing any challenges on the Digital Skills Platform. </w:t>
      </w:r>
    </w:p>
    <w:p w:rsidR="00C73699" w:rsidRPr="00093C09" w:rsidRDefault="00C73699" w:rsidP="00C73699">
      <w:pPr>
        <w:pStyle w:val="ListParagraph"/>
        <w:numPr>
          <w:ilvl w:val="1"/>
          <w:numId w:val="1"/>
        </w:numPr>
        <w:spacing w:before="100" w:beforeAutospacing="1" w:after="100" w:afterAutospacing="1" w:line="240" w:lineRule="auto"/>
        <w:ind w:left="709" w:right="180"/>
        <w:jc w:val="both"/>
        <w:outlineLvl w:val="0"/>
        <w:rPr>
          <w:rFonts w:ascii="Arial" w:eastAsia="Calibri" w:hAnsi="Arial" w:cs="Arial"/>
          <w:color w:val="000000" w:themeColor="text1"/>
        </w:rPr>
      </w:pPr>
      <w:r w:rsidRPr="00093C09">
        <w:rPr>
          <w:rFonts w:ascii="Arial" w:eastAsia="Calibri" w:hAnsi="Arial" w:cs="Arial"/>
          <w:color w:val="000000" w:themeColor="text1"/>
        </w:rPr>
        <w:t>Mentors and/or supervisors are also able to log onto the platform to track the progress of their candidates.</w:t>
      </w:r>
    </w:p>
    <w:p w:rsidR="00C73699" w:rsidRPr="00093C09" w:rsidRDefault="00C73699" w:rsidP="00C73699">
      <w:pPr>
        <w:pStyle w:val="ListParagraph"/>
        <w:numPr>
          <w:ilvl w:val="1"/>
          <w:numId w:val="1"/>
        </w:numPr>
        <w:spacing w:before="100" w:beforeAutospacing="1" w:after="100" w:afterAutospacing="1" w:line="240" w:lineRule="auto"/>
        <w:ind w:left="709" w:right="180"/>
        <w:jc w:val="both"/>
        <w:outlineLvl w:val="0"/>
        <w:rPr>
          <w:rFonts w:ascii="Arial" w:eastAsia="Calibri" w:hAnsi="Arial" w:cs="Arial"/>
          <w:color w:val="000000" w:themeColor="text1"/>
        </w:rPr>
      </w:pPr>
      <w:r w:rsidRPr="00093C09">
        <w:rPr>
          <w:rFonts w:ascii="Arial" w:eastAsia="Calibri" w:hAnsi="Arial" w:cs="Arial"/>
          <w:color w:val="000000" w:themeColor="text1"/>
        </w:rPr>
        <w:t>Monitored work plans guided by their Mentors and/or Supervisors that require a formal report and review every six months; and</w:t>
      </w:r>
    </w:p>
    <w:p w:rsidR="00C73699" w:rsidRPr="00093C09" w:rsidRDefault="00C73699" w:rsidP="00C73699">
      <w:pPr>
        <w:pStyle w:val="ListParagraph"/>
        <w:numPr>
          <w:ilvl w:val="1"/>
          <w:numId w:val="1"/>
        </w:numPr>
        <w:spacing w:before="100" w:beforeAutospacing="1" w:after="100" w:afterAutospacing="1" w:line="240" w:lineRule="auto"/>
        <w:ind w:left="709" w:right="180"/>
        <w:jc w:val="both"/>
        <w:outlineLvl w:val="0"/>
        <w:rPr>
          <w:rFonts w:ascii="Arial" w:eastAsia="Calibri" w:hAnsi="Arial" w:cs="Arial"/>
          <w:color w:val="000000" w:themeColor="text1"/>
        </w:rPr>
      </w:pPr>
      <w:r w:rsidRPr="00093C09">
        <w:rPr>
          <w:rFonts w:ascii="Arial" w:eastAsia="Calibri" w:hAnsi="Arial" w:cs="Arial"/>
          <w:color w:val="000000" w:themeColor="text1"/>
        </w:rPr>
        <w:t>Conducting regular check-in sessions with the Ambassadors; their Supervisors and/or Mentors.</w:t>
      </w:r>
    </w:p>
    <w:p w:rsidR="00171970" w:rsidRDefault="00C73699" w:rsidP="00C73699">
      <w:pPr>
        <w:spacing w:before="100" w:beforeAutospacing="1" w:after="100" w:afterAutospacing="1" w:line="240" w:lineRule="auto"/>
        <w:ind w:left="284" w:right="180"/>
        <w:jc w:val="both"/>
        <w:outlineLvl w:val="0"/>
        <w:rPr>
          <w:rFonts w:ascii="Arial" w:eastAsia="Calibri" w:hAnsi="Arial" w:cs="Arial"/>
          <w:color w:val="000000" w:themeColor="text1"/>
        </w:rPr>
      </w:pPr>
      <w:r w:rsidRPr="00093C09">
        <w:rPr>
          <w:rFonts w:ascii="Arial" w:eastAsia="Calibri" w:hAnsi="Arial" w:cs="Arial"/>
          <w:color w:val="000000" w:themeColor="text1"/>
        </w:rPr>
        <w:t>The Future of Work Ambassadors Programme also features in the department’s 2022/23 Annual Operational Plan. This further enhances monitoring; ensures that the project is aligned and contributes towards the greater strategic goals of the department.</w:t>
      </w:r>
    </w:p>
    <w:p w:rsidR="00C73699" w:rsidRPr="00C73699" w:rsidRDefault="00C73699" w:rsidP="00C73699">
      <w:pPr>
        <w:spacing w:before="100" w:beforeAutospacing="1" w:after="100" w:afterAutospacing="1" w:line="240" w:lineRule="auto"/>
        <w:ind w:right="180"/>
        <w:jc w:val="both"/>
        <w:outlineLvl w:val="0"/>
        <w:rPr>
          <w:rFonts w:ascii="Arial" w:eastAsia="Calibri" w:hAnsi="Arial" w:cs="Arial"/>
          <w:color w:val="000000" w:themeColor="text1"/>
        </w:rPr>
      </w:pPr>
      <w:r>
        <w:rPr>
          <w:rFonts w:ascii="Arial" w:eastAsia="Calibri" w:hAnsi="Arial" w:cs="Arial"/>
          <w:color w:val="000000" w:themeColor="text1"/>
        </w:rPr>
        <w:t>End</w:t>
      </w:r>
      <w:bookmarkStart w:id="0" w:name="_GoBack"/>
      <w:bookmarkEnd w:id="0"/>
    </w:p>
    <w:sectPr w:rsidR="00C73699" w:rsidRPr="00C73699" w:rsidSect="002136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0344"/>
    <w:multiLevelType w:val="hybridMultilevel"/>
    <w:tmpl w:val="B4FEEC06"/>
    <w:lvl w:ilvl="0" w:tplc="3D04368C">
      <w:start w:val="2"/>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004971"/>
    <w:multiLevelType w:val="hybridMultilevel"/>
    <w:tmpl w:val="63DC6C74"/>
    <w:lvl w:ilvl="0" w:tplc="41582026">
      <w:start w:val="1"/>
      <w:numFmt w:val="lowerRoman"/>
      <w:lvlText w:val="(%1)"/>
      <w:lvlJc w:val="left"/>
      <w:pPr>
        <w:ind w:left="1080" w:hanging="720"/>
      </w:pPr>
    </w:lvl>
    <w:lvl w:ilvl="1" w:tplc="70F048FA">
      <w:numFmt w:val="bullet"/>
      <w:lvlText w:val="-"/>
      <w:lvlJc w:val="left"/>
      <w:pPr>
        <w:ind w:left="1440" w:hanging="360"/>
      </w:pPr>
      <w:rPr>
        <w:rFonts w:ascii="Arial" w:eastAsiaTheme="minorHAnsi" w:hAnsi="Arial" w:cs="Arial" w:hint="default"/>
        <w:b/>
        <w:color w:val="auto"/>
      </w:rPr>
    </w:lvl>
    <w:lvl w:ilvl="2" w:tplc="1C09000D">
      <w:start w:val="1"/>
      <w:numFmt w:val="bullet"/>
      <w:lvlText w:val=""/>
      <w:lvlJc w:val="left"/>
      <w:pPr>
        <w:ind w:left="2160" w:hanging="180"/>
      </w:pPr>
      <w:rPr>
        <w:rFonts w:ascii="Wingdings" w:hAnsi="Wingdings" w:hint="default"/>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46EF0BA5"/>
    <w:multiLevelType w:val="hybridMultilevel"/>
    <w:tmpl w:val="229C3B22"/>
    <w:lvl w:ilvl="0" w:tplc="41582026">
      <w:start w:val="1"/>
      <w:numFmt w:val="lowerRoman"/>
      <w:lvlText w:val="(%1)"/>
      <w:lvlJc w:val="left"/>
      <w:pPr>
        <w:ind w:left="1080" w:hanging="720"/>
      </w:pPr>
    </w:lvl>
    <w:lvl w:ilvl="1" w:tplc="70F048FA">
      <w:numFmt w:val="bullet"/>
      <w:lvlText w:val="-"/>
      <w:lvlJc w:val="left"/>
      <w:pPr>
        <w:ind w:left="1440" w:hanging="360"/>
      </w:pPr>
      <w:rPr>
        <w:rFonts w:ascii="Arial" w:eastAsiaTheme="minorHAnsi" w:hAnsi="Arial" w:cs="Arial" w:hint="default"/>
        <w:b/>
        <w:color w:val="auto"/>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5BAF2345"/>
    <w:multiLevelType w:val="hybridMultilevel"/>
    <w:tmpl w:val="8A9E74F2"/>
    <w:lvl w:ilvl="0" w:tplc="70F048FA">
      <w:numFmt w:val="bullet"/>
      <w:lvlText w:val="-"/>
      <w:lvlJc w:val="left"/>
      <w:pPr>
        <w:ind w:left="1440" w:hanging="360"/>
      </w:pPr>
      <w:rPr>
        <w:rFonts w:ascii="Arial" w:eastAsiaTheme="minorHAnsi" w:hAnsi="Arial" w:cs="Arial" w:hint="default"/>
        <w:b/>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73699"/>
    <w:rsid w:val="001D0BAA"/>
    <w:rsid w:val="002136B3"/>
    <w:rsid w:val="00A86150"/>
    <w:rsid w:val="00C73699"/>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Figure_name,Table of contents numbered,Indent Paragraph,Colorful List - Accent 11,normal,List Paragraph1,heading 2,Bullets,Outline Paragraph,Grey Bullet List,Grey Bullet Style,Tables,Chapter Numbering"/>
    <w:basedOn w:val="Normal"/>
    <w:link w:val="ListParagraphChar"/>
    <w:uiPriority w:val="34"/>
    <w:qFormat/>
    <w:rsid w:val="00C73699"/>
    <w:pPr>
      <w:ind w:left="720"/>
      <w:contextualSpacing/>
    </w:pPr>
  </w:style>
  <w:style w:type="character" w:customStyle="1" w:styleId="ListParagraphChar">
    <w:name w:val="List Paragraph Char"/>
    <w:aliases w:val="List Paragraph 1 Char,Figure_name Char,Table of contents numbered Char,Indent Paragraph Char,Colorful List - Accent 11 Char,normal Char,List Paragraph1 Char,heading 2 Char,Bullets Char,Outline Paragraph Char,Grey Bullet List Char"/>
    <w:link w:val="ListParagraph"/>
    <w:uiPriority w:val="34"/>
    <w:locked/>
    <w:rsid w:val="00C73699"/>
  </w:style>
  <w:style w:type="character" w:customStyle="1" w:styleId="normaltextrun">
    <w:name w:val="normaltextrun"/>
    <w:basedOn w:val="DefaultParagraphFont"/>
    <w:rsid w:val="00C736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2022-12-08T06:17:00Z</dcterms:created>
  <dcterms:modified xsi:type="dcterms:W3CDTF">2022-12-08T06:17:00Z</dcterms:modified>
</cp:coreProperties>
</file>