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C2D41">
        <w:rPr>
          <w:b/>
          <w:bCs/>
          <w:sz w:val="24"/>
          <w:u w:val="single"/>
        </w:rPr>
        <w:t>4</w:t>
      </w:r>
      <w:r w:rsidR="00365872">
        <w:rPr>
          <w:b/>
          <w:bCs/>
          <w:sz w:val="24"/>
          <w:u w:val="single"/>
        </w:rPr>
        <w:t>1</w:t>
      </w:r>
      <w:r w:rsidR="000D6E9B">
        <w:rPr>
          <w:b/>
          <w:bCs/>
          <w:sz w:val="24"/>
          <w:u w:val="single"/>
        </w:rPr>
        <w:t>25</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94818">
        <w:rPr>
          <w:b/>
          <w:bCs/>
          <w:sz w:val="24"/>
          <w:u w:val="single"/>
        </w:rPr>
        <w:t>04 NOVEMBER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w:t>
      </w:r>
      <w:r w:rsidR="00F94818">
        <w:rPr>
          <w:rFonts w:ascii="Arial" w:hAnsi="Arial" w:cs="Arial"/>
          <w:b/>
          <w:bCs/>
          <w:sz w:val="24"/>
          <w:u w:val="single"/>
        </w:rPr>
        <w:t>4</w:t>
      </w:r>
      <w:r w:rsidRPr="008C527F">
        <w:rPr>
          <w:rFonts w:ascii="Arial" w:hAnsi="Arial" w:cs="Arial"/>
          <w:b/>
          <w:bCs/>
          <w:sz w:val="24"/>
          <w:u w:val="single"/>
        </w:rPr>
        <w:t>)</w:t>
      </w:r>
    </w:p>
    <w:p w:rsidR="000D6E9B" w:rsidRPr="000D6E9B" w:rsidRDefault="000D6E9B" w:rsidP="000D6E9B">
      <w:pPr>
        <w:spacing w:before="100" w:beforeAutospacing="1" w:after="100" w:afterAutospacing="1" w:line="240" w:lineRule="auto"/>
        <w:ind w:right="180"/>
        <w:jc w:val="both"/>
        <w:outlineLvl w:val="0"/>
        <w:rPr>
          <w:rFonts w:ascii="Arial" w:hAnsi="Arial" w:cs="Arial"/>
          <w:b/>
          <w:bCs/>
          <w:sz w:val="24"/>
          <w:szCs w:val="24"/>
          <w:u w:val="single"/>
        </w:rPr>
      </w:pPr>
      <w:r w:rsidRPr="000D6E9B">
        <w:rPr>
          <w:rFonts w:ascii="Arial" w:hAnsi="Arial" w:cs="Arial"/>
          <w:b/>
          <w:sz w:val="24"/>
          <w:szCs w:val="24"/>
          <w:u w:val="single"/>
          <w:lang w:val="en-GB"/>
        </w:rPr>
        <w:t>Ms</w:t>
      </w:r>
      <w:r w:rsidRPr="000D6E9B">
        <w:rPr>
          <w:rFonts w:ascii="Arial" w:hAnsi="Arial" w:cs="Arial"/>
          <w:b/>
          <w:bCs/>
          <w:sz w:val="24"/>
          <w:szCs w:val="24"/>
          <w:u w:val="single"/>
        </w:rPr>
        <w:t xml:space="preserve"> M D Hlengwa (IFP) to ask the Minister of Health</w:t>
      </w:r>
      <w:r w:rsidR="00E01DA8" w:rsidRPr="000D6E9B">
        <w:rPr>
          <w:rFonts w:ascii="Arial" w:hAnsi="Arial" w:cs="Arial"/>
          <w:b/>
          <w:bCs/>
          <w:sz w:val="24"/>
          <w:szCs w:val="24"/>
          <w:u w:val="single"/>
        </w:rPr>
        <w:fldChar w:fldCharType="begin"/>
      </w:r>
      <w:r w:rsidRPr="000D6E9B">
        <w:rPr>
          <w:rFonts w:ascii="Arial" w:hAnsi="Arial" w:cs="Arial"/>
          <w:u w:val="single"/>
        </w:rPr>
        <w:instrText xml:space="preserve"> XE "</w:instrText>
      </w:r>
      <w:r w:rsidRPr="000D6E9B">
        <w:rPr>
          <w:rFonts w:ascii="Arial" w:hAnsi="Arial" w:cs="Arial"/>
          <w:b/>
          <w:sz w:val="24"/>
          <w:szCs w:val="24"/>
          <w:u w:val="single"/>
        </w:rPr>
        <w:instrText>Minister of Health</w:instrText>
      </w:r>
      <w:r w:rsidRPr="000D6E9B">
        <w:rPr>
          <w:rFonts w:ascii="Arial" w:hAnsi="Arial" w:cs="Arial"/>
          <w:u w:val="single"/>
        </w:rPr>
        <w:instrText xml:space="preserve">" </w:instrText>
      </w:r>
      <w:r w:rsidR="00E01DA8" w:rsidRPr="000D6E9B">
        <w:rPr>
          <w:rFonts w:ascii="Arial" w:hAnsi="Arial" w:cs="Arial"/>
          <w:b/>
          <w:bCs/>
          <w:sz w:val="24"/>
          <w:szCs w:val="24"/>
          <w:u w:val="single"/>
        </w:rPr>
        <w:fldChar w:fldCharType="end"/>
      </w:r>
      <w:r w:rsidRPr="000D6E9B">
        <w:rPr>
          <w:rFonts w:ascii="Arial" w:hAnsi="Arial" w:cs="Arial"/>
          <w:b/>
          <w:bCs/>
          <w:sz w:val="24"/>
          <w:szCs w:val="24"/>
          <w:u w:val="single"/>
        </w:rPr>
        <w:t>:</w:t>
      </w:r>
    </w:p>
    <w:p w:rsidR="000D6E9B" w:rsidRPr="000D6E9B" w:rsidRDefault="000D6E9B" w:rsidP="000D6E9B">
      <w:pPr>
        <w:spacing w:before="100" w:beforeAutospacing="1" w:after="100" w:afterAutospacing="1" w:line="240" w:lineRule="auto"/>
        <w:ind w:left="709" w:right="180" w:hanging="720"/>
        <w:jc w:val="both"/>
        <w:outlineLvl w:val="0"/>
        <w:rPr>
          <w:rFonts w:ascii="Arial" w:hAnsi="Arial" w:cs="Arial"/>
          <w:sz w:val="24"/>
          <w:szCs w:val="24"/>
        </w:rPr>
      </w:pPr>
      <w:r w:rsidRPr="000D6E9B">
        <w:rPr>
          <w:rFonts w:ascii="Arial" w:hAnsi="Arial" w:cs="Arial"/>
          <w:sz w:val="24"/>
          <w:szCs w:val="24"/>
        </w:rPr>
        <w:t>(1)</w:t>
      </w:r>
      <w:r w:rsidRPr="000D6E9B">
        <w:rPr>
          <w:rFonts w:ascii="Arial" w:hAnsi="Arial" w:cs="Arial"/>
          <w:sz w:val="24"/>
          <w:szCs w:val="24"/>
        </w:rPr>
        <w:tab/>
        <w:t>Whether, in light of the lack of human resources and shortage of equipment and medicine in hospitals and clinics which limit the right to health care for many South Africans on a daily basis, his department has put any measures in place to reduce the effects that the specified challenges have had on the quality of healthcare in the Republic and its communities; if not, what is the position in this regard; if so, what are the further, relevant details;</w:t>
      </w:r>
    </w:p>
    <w:p w:rsidR="00DA1577" w:rsidRPr="00F75B30" w:rsidRDefault="000D6E9B" w:rsidP="000D6E9B">
      <w:pPr>
        <w:spacing w:before="240" w:line="240" w:lineRule="auto"/>
        <w:ind w:left="709" w:right="180" w:hanging="709"/>
        <w:jc w:val="both"/>
        <w:rPr>
          <w:rFonts w:ascii="Times New Roman" w:hAnsi="Times New Roman" w:cs="Times New Roman"/>
          <w:sz w:val="24"/>
          <w:szCs w:val="24"/>
        </w:rPr>
      </w:pPr>
      <w:r w:rsidRPr="000D6E9B">
        <w:rPr>
          <w:rFonts w:ascii="Arial" w:hAnsi="Arial" w:cs="Arial"/>
          <w:sz w:val="24"/>
          <w:szCs w:val="24"/>
        </w:rPr>
        <w:t>(2)</w:t>
      </w:r>
      <w:r w:rsidRPr="000D6E9B">
        <w:rPr>
          <w:rFonts w:ascii="Arial" w:hAnsi="Arial" w:cs="Arial"/>
          <w:sz w:val="24"/>
          <w:szCs w:val="24"/>
        </w:rPr>
        <w:tab/>
        <w:t>whether his department has mechanisms in place to address issues relating to (a) inadequate recruitment practices, especially in rural areas and (b) poor retention and staff mismanagement; if not, what is the position in this regard; if so, what are the further, relevant details?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1577" w:rsidRPr="00DA1577">
        <w:rPr>
          <w:rFonts w:ascii="Arial" w:hAnsi="Arial" w:cs="Arial"/>
          <w:b/>
          <w:bCs/>
          <w:sz w:val="12"/>
          <w:szCs w:val="12"/>
        </w:rPr>
        <w:t>NW</w:t>
      </w:r>
      <w:r w:rsidR="00DC2D41">
        <w:rPr>
          <w:rFonts w:ascii="Arial" w:hAnsi="Arial" w:cs="Arial"/>
          <w:b/>
          <w:bCs/>
          <w:sz w:val="12"/>
          <w:szCs w:val="12"/>
        </w:rPr>
        <w:t>5</w:t>
      </w:r>
      <w:r w:rsidR="00365872">
        <w:rPr>
          <w:rFonts w:ascii="Arial" w:hAnsi="Arial" w:cs="Arial"/>
          <w:b/>
          <w:bCs/>
          <w:sz w:val="12"/>
          <w:szCs w:val="12"/>
        </w:rPr>
        <w:t>1</w:t>
      </w:r>
      <w:r>
        <w:rPr>
          <w:rFonts w:ascii="Arial" w:hAnsi="Arial" w:cs="Arial"/>
          <w:b/>
          <w:bCs/>
          <w:sz w:val="12"/>
          <w:szCs w:val="12"/>
        </w:rPr>
        <w:t>38</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0011B8" w:rsidRPr="004B659E" w:rsidRDefault="00B92BFD" w:rsidP="000011B8">
      <w:pPr>
        <w:spacing w:line="240" w:lineRule="auto"/>
        <w:ind w:right="100"/>
        <w:jc w:val="both"/>
        <w:rPr>
          <w:sz w:val="24"/>
          <w:szCs w:val="24"/>
        </w:rPr>
      </w:pPr>
      <w:r w:rsidRPr="00B92BFD">
        <w:rPr>
          <w:rFonts w:ascii="Arial" w:hAnsi="Arial" w:cs="Arial"/>
          <w:b/>
          <w:bCs/>
          <w:color w:val="000000" w:themeColor="text1"/>
          <w:sz w:val="24"/>
          <w:szCs w:val="24"/>
          <w:u w:val="single"/>
        </w:rPr>
        <w:t>REPLY:</w:t>
      </w:r>
    </w:p>
    <w:p w:rsidR="00806010" w:rsidRPr="00806010" w:rsidRDefault="00806010" w:rsidP="00806010">
      <w:pPr>
        <w:pStyle w:val="ListParagraph"/>
        <w:numPr>
          <w:ilvl w:val="0"/>
          <w:numId w:val="21"/>
        </w:numPr>
        <w:spacing w:after="0" w:line="240" w:lineRule="auto"/>
        <w:ind w:hanging="720"/>
        <w:jc w:val="both"/>
        <w:rPr>
          <w:rFonts w:ascii="Arial" w:hAnsi="Arial" w:cs="Arial"/>
          <w:color w:val="FF0000"/>
          <w:sz w:val="24"/>
          <w:szCs w:val="24"/>
          <w:lang w:val="en-GB"/>
        </w:rPr>
      </w:pPr>
      <w:r w:rsidRPr="00806010">
        <w:rPr>
          <w:rFonts w:ascii="Arial" w:hAnsi="Arial" w:cs="Arial"/>
          <w:sz w:val="24"/>
          <w:szCs w:val="24"/>
          <w:lang w:val="en-GB"/>
        </w:rPr>
        <w:t xml:space="preserve">As part of addressing the </w:t>
      </w:r>
      <w:r w:rsidRPr="00806010">
        <w:rPr>
          <w:rFonts w:ascii="Arial" w:hAnsi="Arial" w:cs="Arial"/>
          <w:sz w:val="24"/>
          <w:szCs w:val="24"/>
        </w:rPr>
        <w:t>lack of human resources in</w:t>
      </w:r>
      <w:r w:rsidRPr="00806010">
        <w:rPr>
          <w:rFonts w:ascii="Arial" w:hAnsi="Arial" w:cs="Arial"/>
          <w:sz w:val="24"/>
          <w:szCs w:val="24"/>
          <w:lang w:val="en-GB"/>
        </w:rPr>
        <w:t xml:space="preserve"> </w:t>
      </w:r>
      <w:r w:rsidRPr="00806010">
        <w:rPr>
          <w:rFonts w:ascii="Arial" w:hAnsi="Arial" w:cs="Arial"/>
          <w:sz w:val="24"/>
          <w:szCs w:val="24"/>
        </w:rPr>
        <w:t xml:space="preserve">hospitals and clinics, the </w:t>
      </w:r>
      <w:r w:rsidRPr="00806010">
        <w:rPr>
          <w:rFonts w:ascii="Arial" w:hAnsi="Arial" w:cs="Arial"/>
          <w:sz w:val="24"/>
          <w:szCs w:val="24"/>
          <w:lang w:val="en-GB"/>
        </w:rPr>
        <w:t xml:space="preserve">Department of Health has developed and published (in February 2021), a 2030 Human Resources for Health Strategy that serves as a guideline of the Human Resources Agenda for the Public Health sector at various levels of care. The 2030 HRH Strategy modelling, indicates a current shortfall of skilled health professionals in South Africa and makes a call for investing in the Health workforce to address human resources deficits and inequalities across provinces and between private and public health sectors. However, due to stringent budgets, the implementation is at a snail’s pace. </w:t>
      </w:r>
    </w:p>
    <w:p w:rsidR="00806010" w:rsidRDefault="00806010" w:rsidP="00806010">
      <w:pPr>
        <w:pStyle w:val="ListParagraph"/>
        <w:spacing w:after="0" w:line="240" w:lineRule="auto"/>
        <w:jc w:val="both"/>
        <w:rPr>
          <w:rFonts w:ascii="Arial" w:hAnsi="Arial" w:cs="Arial"/>
          <w:sz w:val="24"/>
          <w:szCs w:val="24"/>
          <w:lang w:val="en-GB"/>
        </w:rPr>
      </w:pPr>
    </w:p>
    <w:p w:rsidR="00806010" w:rsidRDefault="00806010" w:rsidP="00806010">
      <w:pPr>
        <w:spacing w:line="240" w:lineRule="auto"/>
        <w:ind w:left="709"/>
        <w:jc w:val="both"/>
        <w:rPr>
          <w:rFonts w:ascii="Arial" w:hAnsi="Arial" w:cs="Arial"/>
          <w:sz w:val="24"/>
          <w:szCs w:val="24"/>
          <w:lang w:val="en-GB"/>
        </w:rPr>
      </w:pPr>
      <w:r>
        <w:rPr>
          <w:rFonts w:ascii="Arial" w:hAnsi="Arial" w:cs="Arial"/>
          <w:sz w:val="24"/>
          <w:szCs w:val="24"/>
          <w:lang w:val="en-GB"/>
        </w:rPr>
        <w:t xml:space="preserve">Despite available limited resources, </w:t>
      </w:r>
      <w:r w:rsidRPr="00F9204F">
        <w:rPr>
          <w:rFonts w:ascii="Arial" w:hAnsi="Arial" w:cs="Arial"/>
          <w:sz w:val="24"/>
          <w:szCs w:val="24"/>
          <w:lang w:val="en-GB"/>
        </w:rPr>
        <w:t xml:space="preserve">in the public service generally, the Department has managed </w:t>
      </w:r>
      <w:r>
        <w:rPr>
          <w:rFonts w:ascii="Arial" w:hAnsi="Arial" w:cs="Arial"/>
          <w:sz w:val="24"/>
          <w:szCs w:val="24"/>
          <w:lang w:val="en-GB"/>
        </w:rPr>
        <w:t xml:space="preserve">put measures in place </w:t>
      </w:r>
      <w:r w:rsidRPr="00F9204F">
        <w:rPr>
          <w:rFonts w:ascii="Arial" w:hAnsi="Arial" w:cs="Arial"/>
          <w:sz w:val="24"/>
          <w:szCs w:val="24"/>
          <w:lang w:val="en-GB"/>
        </w:rPr>
        <w:t xml:space="preserve">to close the vacancy-rate gap for </w:t>
      </w:r>
      <w:r>
        <w:rPr>
          <w:rFonts w:ascii="Arial" w:hAnsi="Arial" w:cs="Arial"/>
          <w:sz w:val="24"/>
          <w:szCs w:val="24"/>
          <w:lang w:val="en-GB"/>
        </w:rPr>
        <w:t>h</w:t>
      </w:r>
      <w:r w:rsidRPr="00F9204F">
        <w:rPr>
          <w:rFonts w:ascii="Arial" w:hAnsi="Arial" w:cs="Arial"/>
          <w:sz w:val="24"/>
          <w:szCs w:val="24"/>
          <w:lang w:val="en-GB"/>
        </w:rPr>
        <w:t xml:space="preserve">ealth care related posts to 12.4% and </w:t>
      </w:r>
      <w:r>
        <w:rPr>
          <w:rFonts w:ascii="Arial" w:hAnsi="Arial" w:cs="Arial"/>
          <w:sz w:val="24"/>
          <w:szCs w:val="24"/>
          <w:lang w:val="en-GB"/>
        </w:rPr>
        <w:t>a</w:t>
      </w:r>
      <w:r w:rsidRPr="00F9204F">
        <w:rPr>
          <w:rFonts w:ascii="Arial" w:hAnsi="Arial" w:cs="Arial"/>
          <w:sz w:val="24"/>
          <w:szCs w:val="24"/>
          <w:lang w:val="en-GB"/>
        </w:rPr>
        <w:t xml:space="preserve">dministration positions to 11.80%, respectively, as at the 30 September 2022, across all </w:t>
      </w:r>
      <w:r>
        <w:rPr>
          <w:rFonts w:ascii="Arial" w:hAnsi="Arial" w:cs="Arial"/>
          <w:sz w:val="24"/>
          <w:szCs w:val="24"/>
          <w:lang w:val="en-GB"/>
        </w:rPr>
        <w:t>the p</w:t>
      </w:r>
      <w:r w:rsidRPr="00F9204F">
        <w:rPr>
          <w:rFonts w:ascii="Arial" w:hAnsi="Arial" w:cs="Arial"/>
          <w:sz w:val="24"/>
          <w:szCs w:val="24"/>
          <w:lang w:val="en-GB"/>
        </w:rPr>
        <w:t xml:space="preserve">rovinces. </w:t>
      </w:r>
    </w:p>
    <w:p w:rsidR="00806010" w:rsidRDefault="00806010" w:rsidP="00806010">
      <w:pPr>
        <w:spacing w:line="240" w:lineRule="auto"/>
        <w:ind w:left="709"/>
        <w:jc w:val="both"/>
        <w:rPr>
          <w:rFonts w:ascii="Arial" w:hAnsi="Arial" w:cs="Arial"/>
          <w:sz w:val="24"/>
          <w:szCs w:val="24"/>
          <w:lang w:val="en-GB"/>
        </w:rPr>
      </w:pPr>
      <w:r w:rsidRPr="001D2D74">
        <w:rPr>
          <w:rFonts w:ascii="Arial" w:hAnsi="Arial" w:cs="Arial"/>
          <w:sz w:val="24"/>
          <w:szCs w:val="24"/>
          <w:lang w:val="en-GB"/>
        </w:rPr>
        <w:t>In relation to Medical Equipment, the department has been experiencing budget cuts over the past few years impacting negatively on issues such as maintenance of equipment and facilities. However, new interventions in the form of conditional grants have been put in place to help provinces cope with revitalisation and maintenance backlogs.</w:t>
      </w:r>
    </w:p>
    <w:p w:rsidR="00806010" w:rsidRPr="001D2D74" w:rsidRDefault="00806010" w:rsidP="00806010">
      <w:pPr>
        <w:spacing w:line="240" w:lineRule="auto"/>
        <w:ind w:left="709"/>
        <w:jc w:val="both"/>
        <w:rPr>
          <w:rFonts w:ascii="Arial" w:hAnsi="Arial" w:cs="Arial"/>
          <w:sz w:val="24"/>
          <w:szCs w:val="24"/>
          <w:lang w:val="en-GB"/>
        </w:rPr>
      </w:pPr>
      <w:r w:rsidRPr="001D2D74">
        <w:rPr>
          <w:rFonts w:ascii="Arial" w:hAnsi="Arial" w:cs="Arial"/>
          <w:sz w:val="24"/>
          <w:szCs w:val="24"/>
          <w:lang w:val="en-GB"/>
        </w:rPr>
        <w:t>The following are some of the conditional grants that have been introduced to help with acquisition, maintenance and revitalisation of facilities inclusive of Medical Equipment and are in addition to Equitable Share granted to provinces:</w:t>
      </w:r>
    </w:p>
    <w:p w:rsidR="00806010" w:rsidRDefault="00806010" w:rsidP="00806010">
      <w:pPr>
        <w:pStyle w:val="ListParagraph"/>
        <w:numPr>
          <w:ilvl w:val="0"/>
          <w:numId w:val="20"/>
        </w:numPr>
        <w:spacing w:after="240" w:line="240" w:lineRule="auto"/>
        <w:ind w:left="1418" w:hanging="644"/>
        <w:contextualSpacing w:val="0"/>
        <w:jc w:val="both"/>
        <w:rPr>
          <w:rFonts w:ascii="Arial" w:hAnsi="Arial" w:cs="Arial"/>
          <w:sz w:val="24"/>
          <w:szCs w:val="24"/>
          <w:lang w:val="en-GB"/>
        </w:rPr>
      </w:pPr>
      <w:r w:rsidRPr="001D2D74">
        <w:rPr>
          <w:rFonts w:ascii="Arial" w:hAnsi="Arial" w:cs="Arial"/>
          <w:sz w:val="24"/>
          <w:szCs w:val="24"/>
          <w:lang w:val="en-GB"/>
        </w:rPr>
        <w:t>Health Facilities Revitalisation Grant (HFRG), Managed National Health, but transferred to provinces with conditions and oversight by National Health.</w:t>
      </w:r>
    </w:p>
    <w:p w:rsidR="00806010" w:rsidRPr="001D2D74" w:rsidRDefault="00806010" w:rsidP="00806010">
      <w:pPr>
        <w:pStyle w:val="ListParagraph"/>
        <w:spacing w:after="240" w:line="240" w:lineRule="auto"/>
        <w:ind w:left="1418"/>
        <w:contextualSpacing w:val="0"/>
        <w:jc w:val="both"/>
        <w:rPr>
          <w:rFonts w:ascii="Arial" w:hAnsi="Arial" w:cs="Arial"/>
          <w:sz w:val="24"/>
          <w:szCs w:val="24"/>
          <w:lang w:val="en-GB"/>
        </w:rPr>
      </w:pPr>
    </w:p>
    <w:p w:rsidR="00806010" w:rsidRPr="001D2D74" w:rsidRDefault="00806010" w:rsidP="00806010">
      <w:pPr>
        <w:pStyle w:val="ListParagraph"/>
        <w:numPr>
          <w:ilvl w:val="0"/>
          <w:numId w:val="20"/>
        </w:numPr>
        <w:spacing w:after="240" w:line="240" w:lineRule="auto"/>
        <w:ind w:left="1418" w:hanging="644"/>
        <w:contextualSpacing w:val="0"/>
        <w:jc w:val="both"/>
        <w:rPr>
          <w:rFonts w:ascii="Arial" w:hAnsi="Arial" w:cs="Arial"/>
          <w:sz w:val="24"/>
          <w:szCs w:val="24"/>
          <w:lang w:val="en-GB"/>
        </w:rPr>
      </w:pPr>
      <w:r w:rsidRPr="001D2D74">
        <w:rPr>
          <w:rFonts w:ascii="Arial" w:hAnsi="Arial" w:cs="Arial"/>
          <w:sz w:val="24"/>
          <w:szCs w:val="24"/>
          <w:lang w:val="en-GB"/>
        </w:rPr>
        <w:t>National Tertiary Services Grant (NTSG): Managed by National Health, but transferred to provinces for equipment gaps/shortages and repairs.</w:t>
      </w:r>
    </w:p>
    <w:p w:rsidR="00806010" w:rsidRPr="001D2D74" w:rsidRDefault="00806010" w:rsidP="00806010">
      <w:pPr>
        <w:pStyle w:val="ListParagraph"/>
        <w:numPr>
          <w:ilvl w:val="0"/>
          <w:numId w:val="20"/>
        </w:numPr>
        <w:spacing w:after="240" w:line="240" w:lineRule="auto"/>
        <w:ind w:left="1418" w:hanging="644"/>
        <w:contextualSpacing w:val="0"/>
        <w:jc w:val="both"/>
        <w:rPr>
          <w:rFonts w:ascii="Arial" w:hAnsi="Arial" w:cs="Arial"/>
          <w:sz w:val="24"/>
          <w:szCs w:val="24"/>
          <w:lang w:val="en-GB"/>
        </w:rPr>
      </w:pPr>
      <w:r w:rsidRPr="001D2D74">
        <w:rPr>
          <w:rFonts w:ascii="Arial" w:hAnsi="Arial" w:cs="Arial"/>
          <w:sz w:val="24"/>
          <w:szCs w:val="24"/>
          <w:lang w:val="en-GB"/>
        </w:rPr>
        <w:t>National Health Insurance Indirect Grant (In-kind grant): Managed and implemented under National Health through implementing agents.</w:t>
      </w:r>
    </w:p>
    <w:p w:rsidR="00806010" w:rsidRPr="001D2D74" w:rsidRDefault="00806010" w:rsidP="00806010">
      <w:pPr>
        <w:spacing w:after="240" w:line="240" w:lineRule="auto"/>
        <w:ind w:left="1418" w:hanging="644"/>
        <w:jc w:val="both"/>
        <w:rPr>
          <w:rFonts w:ascii="Arial" w:hAnsi="Arial" w:cs="Arial"/>
          <w:sz w:val="24"/>
          <w:szCs w:val="24"/>
          <w:lang w:val="en-GB"/>
        </w:rPr>
      </w:pPr>
      <w:r w:rsidRPr="001D2D74">
        <w:rPr>
          <w:rFonts w:ascii="Arial" w:hAnsi="Arial" w:cs="Arial"/>
          <w:sz w:val="24"/>
          <w:szCs w:val="24"/>
          <w:lang w:val="en-GB"/>
        </w:rPr>
        <w:t>Other interventions include:</w:t>
      </w:r>
    </w:p>
    <w:p w:rsidR="00806010" w:rsidRPr="001D2D74" w:rsidRDefault="00806010" w:rsidP="00806010">
      <w:pPr>
        <w:pStyle w:val="ListParagraph"/>
        <w:numPr>
          <w:ilvl w:val="0"/>
          <w:numId w:val="19"/>
        </w:numPr>
        <w:spacing w:after="240" w:line="240" w:lineRule="auto"/>
        <w:ind w:left="1418" w:hanging="644"/>
        <w:contextualSpacing w:val="0"/>
        <w:jc w:val="both"/>
        <w:rPr>
          <w:rFonts w:ascii="Arial" w:hAnsi="Arial" w:cs="Arial"/>
          <w:sz w:val="24"/>
          <w:szCs w:val="24"/>
          <w:lang w:val="en-GB"/>
        </w:rPr>
      </w:pPr>
      <w:r w:rsidRPr="001D2D74">
        <w:rPr>
          <w:rFonts w:ascii="Arial" w:hAnsi="Arial" w:cs="Arial"/>
          <w:sz w:val="24"/>
          <w:szCs w:val="24"/>
          <w:lang w:val="en-GB"/>
        </w:rPr>
        <w:t>Integration of maintenance plans and Service Level Agreements within transversal contracts administered under National Treasury to help ensure functioning equipment.</w:t>
      </w:r>
    </w:p>
    <w:p w:rsidR="00806010" w:rsidRPr="001D2D74" w:rsidRDefault="00806010" w:rsidP="00806010">
      <w:pPr>
        <w:pStyle w:val="ListParagraph"/>
        <w:numPr>
          <w:ilvl w:val="0"/>
          <w:numId w:val="19"/>
        </w:numPr>
        <w:spacing w:after="240" w:line="240" w:lineRule="auto"/>
        <w:ind w:left="1418" w:hanging="644"/>
        <w:contextualSpacing w:val="0"/>
        <w:jc w:val="both"/>
        <w:rPr>
          <w:rFonts w:ascii="Arial" w:hAnsi="Arial" w:cs="Arial"/>
          <w:sz w:val="24"/>
          <w:szCs w:val="24"/>
          <w:lang w:val="en-GB"/>
        </w:rPr>
      </w:pPr>
      <w:r w:rsidRPr="001D2D74">
        <w:rPr>
          <w:rFonts w:ascii="Arial" w:hAnsi="Arial" w:cs="Arial"/>
          <w:sz w:val="24"/>
          <w:szCs w:val="24"/>
          <w:lang w:val="en-GB"/>
        </w:rPr>
        <w:t>Development of Medical Equipment Maintenance Strategic Framework within the Office of the Chief Procurement Officer within National Treasury, and the related transversal Contract for Maintenance of Medical Equipment.</w:t>
      </w:r>
    </w:p>
    <w:p w:rsidR="00806010" w:rsidRDefault="00806010" w:rsidP="00806010">
      <w:pPr>
        <w:pStyle w:val="ListParagraph"/>
        <w:spacing w:after="0" w:line="240" w:lineRule="auto"/>
        <w:jc w:val="both"/>
        <w:rPr>
          <w:rFonts w:ascii="Arial" w:hAnsi="Arial" w:cs="Arial"/>
          <w:sz w:val="24"/>
          <w:szCs w:val="24"/>
          <w:lang w:val="en-GB"/>
        </w:rPr>
      </w:pPr>
    </w:p>
    <w:p w:rsidR="00806010" w:rsidRPr="00806010" w:rsidRDefault="00806010" w:rsidP="00806010">
      <w:pPr>
        <w:pStyle w:val="ListParagraph"/>
        <w:numPr>
          <w:ilvl w:val="0"/>
          <w:numId w:val="21"/>
        </w:numPr>
        <w:spacing w:after="0" w:line="240" w:lineRule="auto"/>
        <w:ind w:hanging="720"/>
        <w:jc w:val="both"/>
        <w:rPr>
          <w:rFonts w:ascii="Arial" w:hAnsi="Arial" w:cs="Arial"/>
          <w:color w:val="FF0000"/>
          <w:sz w:val="24"/>
          <w:szCs w:val="24"/>
          <w:lang w:val="en-GB"/>
        </w:rPr>
      </w:pPr>
      <w:r w:rsidRPr="00806010">
        <w:rPr>
          <w:rFonts w:ascii="Arial" w:hAnsi="Arial" w:cs="Arial"/>
          <w:sz w:val="24"/>
          <w:szCs w:val="24"/>
          <w:lang w:val="en-GB"/>
        </w:rPr>
        <w:t xml:space="preserve">Provincial Departments of Health are implementing various plans that include the following: </w:t>
      </w:r>
    </w:p>
    <w:p w:rsidR="00806010" w:rsidRPr="00806010" w:rsidRDefault="00806010" w:rsidP="00806010">
      <w:pPr>
        <w:pStyle w:val="ListParagraph"/>
        <w:spacing w:after="0" w:line="240" w:lineRule="auto"/>
        <w:jc w:val="both"/>
        <w:rPr>
          <w:rFonts w:ascii="Arial" w:hAnsi="Arial" w:cs="Arial"/>
          <w:color w:val="FF0000"/>
          <w:sz w:val="24"/>
          <w:szCs w:val="24"/>
          <w:lang w:val="en-GB"/>
        </w:rPr>
      </w:pPr>
    </w:p>
    <w:p w:rsidR="00806010" w:rsidRPr="00F9204F" w:rsidRDefault="00806010" w:rsidP="00806010">
      <w:pPr>
        <w:numPr>
          <w:ilvl w:val="0"/>
          <w:numId w:val="18"/>
        </w:numPr>
        <w:spacing w:after="240" w:line="240" w:lineRule="auto"/>
        <w:ind w:left="1418" w:hanging="641"/>
        <w:jc w:val="both"/>
        <w:rPr>
          <w:rFonts w:ascii="Arial" w:hAnsi="Arial" w:cs="Arial"/>
          <w:sz w:val="24"/>
          <w:szCs w:val="24"/>
        </w:rPr>
      </w:pPr>
      <w:r w:rsidRPr="00F9204F">
        <w:rPr>
          <w:rFonts w:ascii="Arial" w:hAnsi="Arial" w:cs="Arial"/>
          <w:sz w:val="24"/>
          <w:szCs w:val="24"/>
        </w:rPr>
        <w:t xml:space="preserve">Annual Recruitment Plan – </w:t>
      </w:r>
      <w:r>
        <w:rPr>
          <w:rFonts w:ascii="Arial" w:hAnsi="Arial" w:cs="Arial"/>
          <w:sz w:val="24"/>
          <w:szCs w:val="24"/>
        </w:rPr>
        <w:t>with p</w:t>
      </w:r>
      <w:r w:rsidRPr="00F9204F">
        <w:rPr>
          <w:rFonts w:ascii="Arial" w:hAnsi="Arial" w:cs="Arial"/>
          <w:sz w:val="24"/>
          <w:szCs w:val="24"/>
        </w:rPr>
        <w:t xml:space="preserve">rioritisation of </w:t>
      </w:r>
      <w:r>
        <w:rPr>
          <w:rFonts w:ascii="Arial" w:hAnsi="Arial" w:cs="Arial"/>
          <w:sz w:val="24"/>
          <w:szCs w:val="24"/>
        </w:rPr>
        <w:t>critical</w:t>
      </w:r>
      <w:r w:rsidRPr="00F9204F">
        <w:rPr>
          <w:rFonts w:ascii="Arial" w:hAnsi="Arial" w:cs="Arial"/>
          <w:sz w:val="24"/>
          <w:szCs w:val="24"/>
        </w:rPr>
        <w:t xml:space="preserve"> posts where funding permits</w:t>
      </w:r>
    </w:p>
    <w:p w:rsidR="00806010" w:rsidRPr="00F9204F" w:rsidRDefault="00806010" w:rsidP="00806010">
      <w:pPr>
        <w:numPr>
          <w:ilvl w:val="0"/>
          <w:numId w:val="18"/>
        </w:numPr>
        <w:spacing w:after="240" w:line="240" w:lineRule="auto"/>
        <w:ind w:left="1418" w:hanging="641"/>
        <w:jc w:val="both"/>
        <w:rPr>
          <w:rFonts w:ascii="Arial" w:hAnsi="Arial" w:cs="Arial"/>
          <w:sz w:val="24"/>
          <w:szCs w:val="24"/>
        </w:rPr>
      </w:pPr>
      <w:r>
        <w:rPr>
          <w:rFonts w:ascii="Arial" w:hAnsi="Arial" w:cs="Arial"/>
          <w:sz w:val="24"/>
          <w:szCs w:val="24"/>
        </w:rPr>
        <w:t xml:space="preserve">Utilisation of </w:t>
      </w:r>
      <w:r w:rsidRPr="00F9204F">
        <w:rPr>
          <w:rFonts w:ascii="Arial" w:hAnsi="Arial" w:cs="Arial"/>
          <w:sz w:val="24"/>
          <w:szCs w:val="24"/>
        </w:rPr>
        <w:t>conditional grant funding</w:t>
      </w:r>
      <w:r>
        <w:rPr>
          <w:rFonts w:ascii="Arial" w:hAnsi="Arial" w:cs="Arial"/>
          <w:sz w:val="24"/>
          <w:szCs w:val="24"/>
        </w:rPr>
        <w:t xml:space="preserve"> where it allows for prioritisation of posts</w:t>
      </w:r>
    </w:p>
    <w:p w:rsidR="00806010" w:rsidRPr="00F9204F" w:rsidRDefault="00806010" w:rsidP="00806010">
      <w:pPr>
        <w:numPr>
          <w:ilvl w:val="0"/>
          <w:numId w:val="18"/>
        </w:numPr>
        <w:spacing w:after="240" w:line="240" w:lineRule="auto"/>
        <w:ind w:left="1418" w:hanging="641"/>
        <w:jc w:val="both"/>
        <w:rPr>
          <w:rFonts w:ascii="Arial" w:hAnsi="Arial" w:cs="Arial"/>
          <w:sz w:val="24"/>
          <w:szCs w:val="24"/>
        </w:rPr>
      </w:pPr>
      <w:r w:rsidRPr="00F9204F">
        <w:rPr>
          <w:rFonts w:ascii="Arial" w:hAnsi="Arial" w:cs="Arial"/>
          <w:sz w:val="24"/>
          <w:szCs w:val="24"/>
        </w:rPr>
        <w:t xml:space="preserve">Filling of </w:t>
      </w:r>
      <w:r>
        <w:rPr>
          <w:rFonts w:ascii="Arial" w:hAnsi="Arial" w:cs="Arial"/>
          <w:sz w:val="24"/>
          <w:szCs w:val="24"/>
        </w:rPr>
        <w:t xml:space="preserve">approved </w:t>
      </w:r>
      <w:r w:rsidRPr="00F9204F">
        <w:rPr>
          <w:rFonts w:ascii="Arial" w:hAnsi="Arial" w:cs="Arial"/>
          <w:sz w:val="24"/>
          <w:szCs w:val="24"/>
        </w:rPr>
        <w:t>replacement posts</w:t>
      </w:r>
    </w:p>
    <w:p w:rsidR="00806010" w:rsidRPr="00A072EB" w:rsidRDefault="00806010" w:rsidP="00806010">
      <w:pPr>
        <w:numPr>
          <w:ilvl w:val="0"/>
          <w:numId w:val="18"/>
        </w:numPr>
        <w:spacing w:after="240" w:line="240" w:lineRule="auto"/>
        <w:ind w:left="1418" w:hanging="641"/>
        <w:jc w:val="both"/>
        <w:rPr>
          <w:rFonts w:ascii="Arial" w:hAnsi="Arial" w:cs="Arial"/>
          <w:sz w:val="24"/>
          <w:szCs w:val="24"/>
        </w:rPr>
      </w:pPr>
      <w:r w:rsidRPr="00F9204F">
        <w:rPr>
          <w:rFonts w:ascii="Arial" w:hAnsi="Arial" w:cs="Arial"/>
          <w:sz w:val="24"/>
          <w:szCs w:val="24"/>
        </w:rPr>
        <w:t>Employment of health professionals on contract bas</w:t>
      </w:r>
      <w:r>
        <w:rPr>
          <w:rFonts w:ascii="Arial" w:hAnsi="Arial" w:cs="Arial"/>
          <w:sz w:val="24"/>
          <w:szCs w:val="24"/>
        </w:rPr>
        <w:t>i</w:t>
      </w:r>
      <w:r w:rsidRPr="00F9204F">
        <w:rPr>
          <w:rFonts w:ascii="Arial" w:hAnsi="Arial" w:cs="Arial"/>
          <w:sz w:val="24"/>
          <w:szCs w:val="24"/>
        </w:rPr>
        <w:t xml:space="preserve">s to strengthen capacity </w:t>
      </w:r>
      <w:r>
        <w:rPr>
          <w:rFonts w:ascii="Arial" w:hAnsi="Arial" w:cs="Arial"/>
          <w:sz w:val="24"/>
          <w:szCs w:val="24"/>
        </w:rPr>
        <w:t xml:space="preserve"> and </w:t>
      </w:r>
      <w:r w:rsidRPr="00A072EB">
        <w:rPr>
          <w:rFonts w:ascii="Arial" w:hAnsi="Arial" w:cs="Arial"/>
          <w:sz w:val="24"/>
          <w:szCs w:val="24"/>
        </w:rPr>
        <w:t xml:space="preserve">where funding permits these contract employees </w:t>
      </w:r>
      <w:r>
        <w:rPr>
          <w:rFonts w:ascii="Arial" w:hAnsi="Arial" w:cs="Arial"/>
          <w:sz w:val="24"/>
          <w:szCs w:val="24"/>
        </w:rPr>
        <w:t xml:space="preserve">are absorbed on </w:t>
      </w:r>
      <w:r w:rsidRPr="00A072EB">
        <w:rPr>
          <w:rFonts w:ascii="Arial" w:hAnsi="Arial" w:cs="Arial"/>
          <w:sz w:val="24"/>
          <w:szCs w:val="24"/>
        </w:rPr>
        <w:t>permanent employment at the end of their contracts</w:t>
      </w:r>
    </w:p>
    <w:p w:rsidR="00806010" w:rsidRPr="00F9204F" w:rsidRDefault="00806010" w:rsidP="00806010">
      <w:pPr>
        <w:numPr>
          <w:ilvl w:val="0"/>
          <w:numId w:val="18"/>
        </w:numPr>
        <w:spacing w:after="240" w:line="240" w:lineRule="auto"/>
        <w:ind w:left="1418" w:hanging="641"/>
        <w:rPr>
          <w:rFonts w:ascii="Arial" w:hAnsi="Arial" w:cs="Arial"/>
          <w:sz w:val="24"/>
          <w:szCs w:val="24"/>
        </w:rPr>
      </w:pPr>
      <w:r w:rsidRPr="00F9204F">
        <w:rPr>
          <w:rFonts w:ascii="Arial" w:hAnsi="Arial" w:cs="Arial"/>
          <w:sz w:val="24"/>
          <w:szCs w:val="24"/>
        </w:rPr>
        <w:t>Awarding of bursaries yearly to internal and external candidates to study further in various disciplines where there are shortages</w:t>
      </w:r>
    </w:p>
    <w:p w:rsidR="00806010" w:rsidRPr="00F9204F" w:rsidRDefault="00806010" w:rsidP="00806010">
      <w:pPr>
        <w:numPr>
          <w:ilvl w:val="0"/>
          <w:numId w:val="18"/>
        </w:numPr>
        <w:spacing w:after="0" w:line="240" w:lineRule="auto"/>
        <w:ind w:left="1418" w:hanging="641"/>
        <w:rPr>
          <w:rFonts w:ascii="Arial" w:hAnsi="Arial" w:cs="Arial"/>
          <w:sz w:val="24"/>
          <w:szCs w:val="24"/>
        </w:rPr>
      </w:pPr>
      <w:r w:rsidRPr="00F9204F">
        <w:rPr>
          <w:rFonts w:ascii="Arial" w:hAnsi="Arial" w:cs="Arial"/>
          <w:sz w:val="24"/>
          <w:szCs w:val="24"/>
        </w:rPr>
        <w:t>Provision of internship and community service programme</w:t>
      </w:r>
    </w:p>
    <w:p w:rsidR="007310ED" w:rsidRPr="00806010" w:rsidRDefault="00E94FEA" w:rsidP="00806010">
      <w:pPr>
        <w:spacing w:line="240" w:lineRule="auto"/>
        <w:jc w:val="both"/>
        <w:rPr>
          <w:rFonts w:ascii="Arial" w:hAnsi="Arial" w:cs="Arial"/>
          <w:sz w:val="24"/>
          <w:szCs w:val="24"/>
        </w:rPr>
      </w:pPr>
      <w:r w:rsidRPr="00F94818">
        <w:rPr>
          <w:rFonts w:ascii="Arial" w:hAnsi="Arial" w:cs="Arial"/>
          <w:sz w:val="24"/>
          <w:szCs w:val="24"/>
        </w:rPr>
        <w:t xml:space="preserve"> </w:t>
      </w: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806010">
      <w:headerReference w:type="default" r:id="rId7"/>
      <w:footerReference w:type="default" r:id="rId8"/>
      <w:pgSz w:w="11906" w:h="16838"/>
      <w:pgMar w:top="1134" w:right="851" w:bottom="851" w:left="1134" w:header="709" w:footer="6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DF1" w:rsidRDefault="00105DF1" w:rsidP="00BF747C">
      <w:pPr>
        <w:spacing w:after="0" w:line="240" w:lineRule="auto"/>
      </w:pPr>
      <w:r>
        <w:separator/>
      </w:r>
    </w:p>
  </w:endnote>
  <w:endnote w:type="continuationSeparator" w:id="0">
    <w:p w:rsidR="00105DF1" w:rsidRDefault="00105DF1"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310986"/>
      <w:docPartObj>
        <w:docPartGallery w:val="Page Numbers (Bottom of Page)"/>
        <w:docPartUnique/>
      </w:docPartObj>
    </w:sdtPr>
    <w:sdtEndPr>
      <w:rPr>
        <w:rFonts w:ascii="Arial" w:hAnsi="Arial" w:cs="Arial"/>
        <w:noProof/>
        <w:sz w:val="24"/>
        <w:szCs w:val="24"/>
      </w:rPr>
    </w:sdtEndPr>
    <w:sdtContent>
      <w:p w:rsidR="00806010" w:rsidRPr="00806010" w:rsidRDefault="00E01DA8" w:rsidP="00806010">
        <w:pPr>
          <w:pStyle w:val="Footer"/>
          <w:jc w:val="center"/>
          <w:rPr>
            <w:rFonts w:ascii="Arial" w:hAnsi="Arial" w:cs="Arial"/>
            <w:sz w:val="24"/>
            <w:szCs w:val="24"/>
          </w:rPr>
        </w:pPr>
        <w:r w:rsidRPr="00806010">
          <w:rPr>
            <w:rFonts w:ascii="Arial" w:hAnsi="Arial" w:cs="Arial"/>
            <w:sz w:val="24"/>
            <w:szCs w:val="24"/>
          </w:rPr>
          <w:fldChar w:fldCharType="begin"/>
        </w:r>
        <w:r w:rsidR="00806010" w:rsidRPr="00806010">
          <w:rPr>
            <w:rFonts w:ascii="Arial" w:hAnsi="Arial" w:cs="Arial"/>
            <w:sz w:val="24"/>
            <w:szCs w:val="24"/>
          </w:rPr>
          <w:instrText xml:space="preserve"> PAGE   \* MERGEFORMAT </w:instrText>
        </w:r>
        <w:r w:rsidRPr="00806010">
          <w:rPr>
            <w:rFonts w:ascii="Arial" w:hAnsi="Arial" w:cs="Arial"/>
            <w:sz w:val="24"/>
            <w:szCs w:val="24"/>
          </w:rPr>
          <w:fldChar w:fldCharType="separate"/>
        </w:r>
        <w:r w:rsidR="00105DF1">
          <w:rPr>
            <w:rFonts w:ascii="Arial" w:hAnsi="Arial" w:cs="Arial"/>
            <w:noProof/>
            <w:sz w:val="24"/>
            <w:szCs w:val="24"/>
          </w:rPr>
          <w:t>1</w:t>
        </w:r>
        <w:r w:rsidRPr="00806010">
          <w:rPr>
            <w:rFonts w:ascii="Arial" w:hAnsi="Arial" w:cs="Arial"/>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DF1" w:rsidRDefault="00105DF1" w:rsidP="00BF747C">
      <w:pPr>
        <w:spacing w:after="0" w:line="240" w:lineRule="auto"/>
      </w:pPr>
      <w:r>
        <w:separator/>
      </w:r>
    </w:p>
  </w:footnote>
  <w:footnote w:type="continuationSeparator" w:id="0">
    <w:p w:rsidR="00105DF1" w:rsidRDefault="00105DF1" w:rsidP="00BF7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10" w:rsidRDefault="00806010">
    <w:pPr>
      <w:pStyle w:val="Header"/>
      <w:jc w:val="center"/>
    </w:pPr>
  </w:p>
  <w:p w:rsidR="00806010" w:rsidRDefault="008060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AC3A80"/>
    <w:multiLevelType w:val="hybridMultilevel"/>
    <w:tmpl w:val="A0A0B974"/>
    <w:lvl w:ilvl="0" w:tplc="B02E5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513D3A"/>
    <w:multiLevelType w:val="hybridMultilevel"/>
    <w:tmpl w:val="22080B6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A7798"/>
    <w:multiLevelType w:val="hybridMultilevel"/>
    <w:tmpl w:val="2280D852"/>
    <w:lvl w:ilvl="0" w:tplc="1C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nsid w:val="5A10646F"/>
    <w:multiLevelType w:val="hybridMultilevel"/>
    <w:tmpl w:val="8758B270"/>
    <w:lvl w:ilvl="0" w:tplc="3788A63A">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7">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E3C315A"/>
    <w:multiLevelType w:val="hybridMultilevel"/>
    <w:tmpl w:val="EC40DF44"/>
    <w:lvl w:ilvl="0" w:tplc="F5C8A814">
      <w:start w:val="1"/>
      <w:numFmt w:val="decimal"/>
      <w:lvlText w:val="%1."/>
      <w:lvlJc w:val="left"/>
      <w:pPr>
        <w:ind w:left="720" w:hanging="360"/>
      </w:pPr>
      <w:rPr>
        <w:rFonts w:ascii="Arial" w:hAnsi="Arial" w:cs="Arial" w:hint="default"/>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759115B6"/>
    <w:multiLevelType w:val="hybridMultilevel"/>
    <w:tmpl w:val="753E4D70"/>
    <w:lvl w:ilvl="0" w:tplc="1C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20"/>
  </w:num>
  <w:num w:numId="5">
    <w:abstractNumId w:val="4"/>
  </w:num>
  <w:num w:numId="6">
    <w:abstractNumId w:val="16"/>
  </w:num>
  <w:num w:numId="7">
    <w:abstractNumId w:val="11"/>
  </w:num>
  <w:num w:numId="8">
    <w:abstractNumId w:val="1"/>
  </w:num>
  <w:num w:numId="9">
    <w:abstractNumId w:val="9"/>
  </w:num>
  <w:num w:numId="10">
    <w:abstractNumId w:val="7"/>
  </w:num>
  <w:num w:numId="11">
    <w:abstractNumId w:val="10"/>
  </w:num>
  <w:num w:numId="12">
    <w:abstractNumId w:val="5"/>
  </w:num>
  <w:num w:numId="13">
    <w:abstractNumId w:val="15"/>
  </w:num>
  <w:num w:numId="14">
    <w:abstractNumId w:val="3"/>
  </w:num>
  <w:num w:numId="15">
    <w:abstractNumId w:val="17"/>
  </w:num>
  <w:num w:numId="16">
    <w:abstractNumId w:val="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 w:numId="20">
    <w:abstractNumId w:val="1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6184"/>
    <w:rsid w:val="000A7CCB"/>
    <w:rsid w:val="000C71EE"/>
    <w:rsid w:val="000D5020"/>
    <w:rsid w:val="000D6E9B"/>
    <w:rsid w:val="000E3223"/>
    <w:rsid w:val="000F02CC"/>
    <w:rsid w:val="00105DF1"/>
    <w:rsid w:val="0010613B"/>
    <w:rsid w:val="001748A7"/>
    <w:rsid w:val="00192FB1"/>
    <w:rsid w:val="001C17A9"/>
    <w:rsid w:val="001E1EDF"/>
    <w:rsid w:val="001F5233"/>
    <w:rsid w:val="002032D2"/>
    <w:rsid w:val="0020357C"/>
    <w:rsid w:val="002133B8"/>
    <w:rsid w:val="00242DDF"/>
    <w:rsid w:val="00254C98"/>
    <w:rsid w:val="00280359"/>
    <w:rsid w:val="002855FA"/>
    <w:rsid w:val="002A6A95"/>
    <w:rsid w:val="00300612"/>
    <w:rsid w:val="00365872"/>
    <w:rsid w:val="00396F5D"/>
    <w:rsid w:val="003B7E8F"/>
    <w:rsid w:val="003C28E2"/>
    <w:rsid w:val="003F3E66"/>
    <w:rsid w:val="00423784"/>
    <w:rsid w:val="0043135F"/>
    <w:rsid w:val="00431A61"/>
    <w:rsid w:val="00467793"/>
    <w:rsid w:val="00474CEF"/>
    <w:rsid w:val="004862BD"/>
    <w:rsid w:val="00492691"/>
    <w:rsid w:val="004A0D6F"/>
    <w:rsid w:val="004A51DF"/>
    <w:rsid w:val="004C5AF0"/>
    <w:rsid w:val="004C7A6A"/>
    <w:rsid w:val="004E1A34"/>
    <w:rsid w:val="004F04E9"/>
    <w:rsid w:val="005021BA"/>
    <w:rsid w:val="005443FD"/>
    <w:rsid w:val="0054543E"/>
    <w:rsid w:val="00595BE2"/>
    <w:rsid w:val="005C4A4A"/>
    <w:rsid w:val="005C54D1"/>
    <w:rsid w:val="005C5F0A"/>
    <w:rsid w:val="005F6B90"/>
    <w:rsid w:val="00605EEB"/>
    <w:rsid w:val="006228AA"/>
    <w:rsid w:val="00692FF8"/>
    <w:rsid w:val="006E46BC"/>
    <w:rsid w:val="006F19AF"/>
    <w:rsid w:val="006F49AE"/>
    <w:rsid w:val="006F68C1"/>
    <w:rsid w:val="00714683"/>
    <w:rsid w:val="007310ED"/>
    <w:rsid w:val="0076207B"/>
    <w:rsid w:val="00765BB8"/>
    <w:rsid w:val="007B07DB"/>
    <w:rsid w:val="007C45DC"/>
    <w:rsid w:val="007D3789"/>
    <w:rsid w:val="007F0AE0"/>
    <w:rsid w:val="007F3AA9"/>
    <w:rsid w:val="007F4BF8"/>
    <w:rsid w:val="00805EE5"/>
    <w:rsid w:val="00806010"/>
    <w:rsid w:val="00887F4F"/>
    <w:rsid w:val="00896F99"/>
    <w:rsid w:val="008B0BC5"/>
    <w:rsid w:val="008C527F"/>
    <w:rsid w:val="008C6BEE"/>
    <w:rsid w:val="008E64C0"/>
    <w:rsid w:val="008F02BB"/>
    <w:rsid w:val="008F7BA5"/>
    <w:rsid w:val="009201C9"/>
    <w:rsid w:val="00931575"/>
    <w:rsid w:val="009B5793"/>
    <w:rsid w:val="009C2956"/>
    <w:rsid w:val="009D650C"/>
    <w:rsid w:val="00A001EF"/>
    <w:rsid w:val="00A14AFD"/>
    <w:rsid w:val="00A30707"/>
    <w:rsid w:val="00A36AD9"/>
    <w:rsid w:val="00A737FA"/>
    <w:rsid w:val="00A774BF"/>
    <w:rsid w:val="00AC3830"/>
    <w:rsid w:val="00AD525D"/>
    <w:rsid w:val="00AD7274"/>
    <w:rsid w:val="00AE5C7D"/>
    <w:rsid w:val="00AF4B38"/>
    <w:rsid w:val="00B15624"/>
    <w:rsid w:val="00B3497E"/>
    <w:rsid w:val="00B37286"/>
    <w:rsid w:val="00B52B2A"/>
    <w:rsid w:val="00B57B69"/>
    <w:rsid w:val="00B62232"/>
    <w:rsid w:val="00B82A02"/>
    <w:rsid w:val="00B92BFD"/>
    <w:rsid w:val="00BC47B6"/>
    <w:rsid w:val="00BE6DE5"/>
    <w:rsid w:val="00BF2D39"/>
    <w:rsid w:val="00BF747C"/>
    <w:rsid w:val="00C04731"/>
    <w:rsid w:val="00C43731"/>
    <w:rsid w:val="00C7269F"/>
    <w:rsid w:val="00C95FFF"/>
    <w:rsid w:val="00CC6A48"/>
    <w:rsid w:val="00CE2151"/>
    <w:rsid w:val="00D0246C"/>
    <w:rsid w:val="00D26747"/>
    <w:rsid w:val="00D3731B"/>
    <w:rsid w:val="00D44075"/>
    <w:rsid w:val="00D5019F"/>
    <w:rsid w:val="00D566C6"/>
    <w:rsid w:val="00D702F8"/>
    <w:rsid w:val="00D81A96"/>
    <w:rsid w:val="00DA1577"/>
    <w:rsid w:val="00DB2477"/>
    <w:rsid w:val="00DC27AD"/>
    <w:rsid w:val="00DC2D41"/>
    <w:rsid w:val="00DF76A2"/>
    <w:rsid w:val="00E01245"/>
    <w:rsid w:val="00E01DA8"/>
    <w:rsid w:val="00E134D1"/>
    <w:rsid w:val="00E207B7"/>
    <w:rsid w:val="00E45F7A"/>
    <w:rsid w:val="00E47DCE"/>
    <w:rsid w:val="00E5287A"/>
    <w:rsid w:val="00E67DB8"/>
    <w:rsid w:val="00E86867"/>
    <w:rsid w:val="00E86DB6"/>
    <w:rsid w:val="00E94FEA"/>
    <w:rsid w:val="00E97960"/>
    <w:rsid w:val="00EA7633"/>
    <w:rsid w:val="00EC42D3"/>
    <w:rsid w:val="00ED6340"/>
    <w:rsid w:val="00F27D65"/>
    <w:rsid w:val="00F5530C"/>
    <w:rsid w:val="00F70BC2"/>
    <w:rsid w:val="00F71A34"/>
    <w:rsid w:val="00F75B30"/>
    <w:rsid w:val="00F94818"/>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A8"/>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2022-11-29T12:06:00Z</dcterms:created>
  <dcterms:modified xsi:type="dcterms:W3CDTF">2022-11-29T12:06:00Z</dcterms:modified>
</cp:coreProperties>
</file>