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592F48"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497BBE" w:rsidRPr="00497BBE" w:rsidRDefault="00497BBE" w:rsidP="00497BBE">
      <w:pPr>
        <w:spacing w:after="0" w:line="320" w:lineRule="exact"/>
        <w:jc w:val="both"/>
        <w:rPr>
          <w:rFonts w:ascii="Arial Narrow" w:eastAsia="Times New Roman" w:hAnsi="Arial Narrow" w:cs="Arial"/>
          <w:b/>
          <w:bCs/>
          <w:sz w:val="24"/>
          <w:szCs w:val="24"/>
          <w:lang w:val="en-GB"/>
        </w:rPr>
      </w:pPr>
      <w:r w:rsidRPr="00497BBE">
        <w:rPr>
          <w:rFonts w:ascii="Arial Narrow" w:eastAsia="Times New Roman" w:hAnsi="Arial Narrow" w:cs="Arial"/>
          <w:b/>
          <w:bCs/>
          <w:sz w:val="24"/>
          <w:szCs w:val="24"/>
          <w:lang w:val="en-GB"/>
        </w:rPr>
        <w:t>QUESTION FOR WRITTEN REPLY</w:t>
      </w:r>
    </w:p>
    <w:p w:rsidR="00497BBE" w:rsidRPr="00497BBE" w:rsidRDefault="00497BBE" w:rsidP="00497BBE">
      <w:pPr>
        <w:spacing w:after="0" w:line="320" w:lineRule="exact"/>
        <w:jc w:val="both"/>
        <w:rPr>
          <w:rFonts w:ascii="Arial Narrow" w:eastAsia="Times New Roman" w:hAnsi="Arial Narrow" w:cs="Arial"/>
          <w:b/>
          <w:bCs/>
          <w:sz w:val="24"/>
          <w:szCs w:val="24"/>
          <w:lang w:val="en-GB"/>
        </w:rPr>
      </w:pPr>
    </w:p>
    <w:p w:rsidR="00497BBE" w:rsidRPr="00497BBE" w:rsidRDefault="00497BBE" w:rsidP="00497BBE">
      <w:pPr>
        <w:keepNext/>
        <w:spacing w:after="0" w:line="320" w:lineRule="exact"/>
        <w:jc w:val="both"/>
        <w:outlineLvl w:val="0"/>
        <w:rPr>
          <w:rFonts w:ascii="Arial Narrow" w:eastAsia="Times New Roman" w:hAnsi="Arial Narrow" w:cs="Arial"/>
          <w:b/>
          <w:bCs/>
          <w:sz w:val="24"/>
          <w:szCs w:val="24"/>
          <w:lang w:val="en-GB"/>
        </w:rPr>
      </w:pPr>
      <w:r w:rsidRPr="00497BBE">
        <w:rPr>
          <w:rFonts w:ascii="Arial Narrow" w:eastAsia="Times New Roman" w:hAnsi="Arial Narrow" w:cs="Arial"/>
          <w:b/>
          <w:bCs/>
          <w:sz w:val="24"/>
          <w:szCs w:val="24"/>
          <w:lang w:val="en-GB"/>
        </w:rPr>
        <w:t>QUESTION NO. 4067</w:t>
      </w:r>
    </w:p>
    <w:p w:rsidR="00497BBE" w:rsidRPr="00497BBE" w:rsidRDefault="00497BBE" w:rsidP="00497BBE">
      <w:pPr>
        <w:spacing w:after="0" w:line="240" w:lineRule="auto"/>
        <w:rPr>
          <w:rFonts w:ascii="Arial Narrow" w:eastAsia="Times New Roman" w:hAnsi="Arial Narrow"/>
          <w:sz w:val="24"/>
          <w:szCs w:val="24"/>
          <w:lang w:val="en-GB"/>
        </w:rPr>
      </w:pPr>
    </w:p>
    <w:p w:rsidR="00497BBE" w:rsidRPr="00497BBE" w:rsidRDefault="00497BBE" w:rsidP="00497BBE">
      <w:pPr>
        <w:spacing w:after="0" w:line="320" w:lineRule="exact"/>
        <w:jc w:val="both"/>
        <w:rPr>
          <w:rFonts w:ascii="Arial Narrow" w:eastAsia="Times New Roman" w:hAnsi="Arial Narrow" w:cs="Arial"/>
          <w:b/>
          <w:bCs/>
          <w:sz w:val="24"/>
          <w:szCs w:val="24"/>
          <w:lang w:val="en-GB"/>
        </w:rPr>
      </w:pPr>
      <w:r w:rsidRPr="00497BBE">
        <w:rPr>
          <w:rFonts w:ascii="Arial Narrow" w:eastAsia="Times New Roman" w:hAnsi="Arial Narrow" w:cs="Arial"/>
          <w:b/>
          <w:bCs/>
          <w:sz w:val="24"/>
          <w:szCs w:val="24"/>
          <w:lang w:val="en-GB"/>
        </w:rPr>
        <w:t>DATE OF PUBLICATION: FRIDAY 4 NOPVEMBER 2022</w:t>
      </w:r>
    </w:p>
    <w:p w:rsidR="00497BBE" w:rsidRPr="00497BBE" w:rsidRDefault="00497BBE" w:rsidP="00497BBE">
      <w:pPr>
        <w:spacing w:after="0" w:line="320" w:lineRule="exact"/>
        <w:jc w:val="both"/>
        <w:rPr>
          <w:rFonts w:ascii="Arial Narrow" w:eastAsia="Times New Roman" w:hAnsi="Arial Narrow" w:cs="Arial"/>
          <w:b/>
          <w:bCs/>
          <w:sz w:val="24"/>
          <w:szCs w:val="24"/>
          <w:lang w:val="en-GB"/>
        </w:rPr>
      </w:pPr>
    </w:p>
    <w:p w:rsidR="00497BBE" w:rsidRPr="00497BBE" w:rsidRDefault="00497BBE" w:rsidP="00497BBE">
      <w:pPr>
        <w:keepNext/>
        <w:spacing w:after="0" w:line="320" w:lineRule="exact"/>
        <w:jc w:val="both"/>
        <w:outlineLvl w:val="1"/>
        <w:rPr>
          <w:rFonts w:ascii="Arial Narrow" w:eastAsia="Times New Roman" w:hAnsi="Arial Narrow" w:cs="Arial"/>
          <w:b/>
          <w:bCs/>
          <w:sz w:val="24"/>
          <w:szCs w:val="24"/>
          <w:lang w:val="en-GB"/>
        </w:rPr>
      </w:pPr>
      <w:r w:rsidRPr="00497BBE">
        <w:rPr>
          <w:rFonts w:ascii="Arial Narrow" w:eastAsia="Times New Roman" w:hAnsi="Arial Narrow" w:cs="Arial"/>
          <w:b/>
          <w:bCs/>
          <w:sz w:val="24"/>
          <w:szCs w:val="24"/>
          <w:lang w:val="en-GB"/>
        </w:rPr>
        <w:t>INTERNAL QUESTION PAPER 44 – 2022</w:t>
      </w:r>
    </w:p>
    <w:p w:rsidR="00497BBE" w:rsidRPr="00497BBE" w:rsidRDefault="00497BBE" w:rsidP="00497BBE">
      <w:pPr>
        <w:spacing w:after="0" w:line="240" w:lineRule="auto"/>
        <w:rPr>
          <w:rFonts w:ascii="Arial Narrow" w:eastAsia="Times New Roman" w:hAnsi="Arial Narrow"/>
          <w:sz w:val="24"/>
          <w:szCs w:val="24"/>
          <w:lang w:val="en-GB"/>
        </w:rPr>
      </w:pPr>
    </w:p>
    <w:p w:rsidR="00497BBE" w:rsidRPr="00497BBE" w:rsidRDefault="00497BBE" w:rsidP="00497BBE">
      <w:pPr>
        <w:tabs>
          <w:tab w:val="left" w:pos="0"/>
        </w:tabs>
        <w:spacing w:before="100" w:beforeAutospacing="1" w:after="100" w:afterAutospacing="1" w:line="240" w:lineRule="auto"/>
        <w:jc w:val="both"/>
        <w:outlineLvl w:val="0"/>
        <w:rPr>
          <w:rFonts w:ascii="Arial" w:hAnsi="Arial" w:cs="Arial"/>
          <w:b/>
          <w:bCs/>
          <w:sz w:val="24"/>
          <w:szCs w:val="24"/>
        </w:rPr>
      </w:pPr>
      <w:r w:rsidRPr="00497BBE">
        <w:rPr>
          <w:rFonts w:ascii="Arial" w:hAnsi="Arial" w:cs="Arial"/>
          <w:b/>
          <w:bCs/>
          <w:sz w:val="24"/>
          <w:szCs w:val="24"/>
        </w:rPr>
        <w:t>4067.</w:t>
      </w:r>
      <w:r w:rsidRPr="00497BBE">
        <w:rPr>
          <w:rFonts w:ascii="Arial" w:hAnsi="Arial" w:cs="Arial"/>
          <w:b/>
          <w:bCs/>
          <w:sz w:val="24"/>
          <w:szCs w:val="24"/>
        </w:rPr>
        <w:tab/>
        <w:t>Mr A C Roos (DA) to ask the Minister of Home Affairs:</w:t>
      </w:r>
    </w:p>
    <w:p w:rsidR="00497BBE" w:rsidRPr="00497BBE" w:rsidRDefault="00497BBE" w:rsidP="006E09FF">
      <w:pPr>
        <w:tabs>
          <w:tab w:val="left" w:pos="0"/>
        </w:tabs>
        <w:spacing w:before="100" w:beforeAutospacing="1" w:after="100" w:afterAutospacing="1" w:line="320" w:lineRule="atLeast"/>
        <w:jc w:val="both"/>
        <w:outlineLvl w:val="0"/>
        <w:rPr>
          <w:rFonts w:ascii="Arial" w:hAnsi="Arial" w:cs="Arial"/>
          <w:sz w:val="24"/>
          <w:szCs w:val="24"/>
        </w:rPr>
      </w:pPr>
      <w:r w:rsidRPr="00497BBE">
        <w:rPr>
          <w:rFonts w:ascii="Arial" w:hAnsi="Arial" w:cs="Arial"/>
          <w:bCs/>
          <w:sz w:val="24"/>
          <w:szCs w:val="24"/>
        </w:rPr>
        <w:t>What was the total amount of (a) legal fees that was spent on defending legal actions against his department, (b) cost orders that were made against his department</w:t>
      </w:r>
      <w:r w:rsidR="006E09FF">
        <w:rPr>
          <w:rFonts w:ascii="Arial" w:hAnsi="Arial" w:cs="Arial"/>
          <w:bCs/>
          <w:sz w:val="24"/>
          <w:szCs w:val="24"/>
        </w:rPr>
        <w:t xml:space="preserve"> </w:t>
      </w:r>
      <w:r w:rsidRPr="00497BBE">
        <w:rPr>
          <w:rFonts w:ascii="Arial" w:hAnsi="Arial" w:cs="Arial"/>
          <w:bCs/>
          <w:sz w:val="24"/>
          <w:szCs w:val="24"/>
        </w:rPr>
        <w:t>and (c) contingent liabilities against his department in the 2021-22 financial year in each case?</w:t>
      </w:r>
      <w:r w:rsidRPr="00497BBE">
        <w:rPr>
          <w:rFonts w:ascii="Arial" w:hAnsi="Arial" w:cs="Arial"/>
          <w:bCs/>
          <w:sz w:val="24"/>
          <w:szCs w:val="24"/>
        </w:rPr>
        <w:tab/>
      </w:r>
      <w:r w:rsidRPr="00497BBE">
        <w:rPr>
          <w:rFonts w:ascii="Arial" w:hAnsi="Arial" w:cs="Arial"/>
          <w:bCs/>
          <w:sz w:val="24"/>
          <w:szCs w:val="24"/>
        </w:rPr>
        <w:tab/>
      </w:r>
      <w:r w:rsidRPr="00497BBE">
        <w:rPr>
          <w:rFonts w:ascii="Arial" w:hAnsi="Arial" w:cs="Arial"/>
          <w:bCs/>
          <w:sz w:val="24"/>
          <w:szCs w:val="24"/>
        </w:rPr>
        <w:tab/>
      </w:r>
      <w:r w:rsidRPr="00497BBE">
        <w:rPr>
          <w:rFonts w:ascii="Arial" w:hAnsi="Arial" w:cs="Arial"/>
          <w:bCs/>
          <w:sz w:val="24"/>
          <w:szCs w:val="24"/>
        </w:rPr>
        <w:tab/>
      </w:r>
      <w:r w:rsidRPr="00497BBE">
        <w:rPr>
          <w:rFonts w:ascii="Arial" w:hAnsi="Arial" w:cs="Arial"/>
          <w:bCs/>
          <w:sz w:val="24"/>
          <w:szCs w:val="24"/>
        </w:rPr>
        <w:tab/>
      </w:r>
      <w:r w:rsidRPr="00497BBE">
        <w:rPr>
          <w:rFonts w:ascii="Arial" w:hAnsi="Arial" w:cs="Arial"/>
          <w:bCs/>
          <w:sz w:val="24"/>
          <w:szCs w:val="24"/>
        </w:rPr>
        <w:tab/>
      </w:r>
      <w:r w:rsidRPr="00497BBE">
        <w:rPr>
          <w:rFonts w:ascii="Arial" w:hAnsi="Arial" w:cs="Arial"/>
          <w:bCs/>
          <w:sz w:val="24"/>
          <w:szCs w:val="24"/>
        </w:rPr>
        <w:tab/>
      </w:r>
      <w:r w:rsidRPr="00497BBE">
        <w:rPr>
          <w:rFonts w:ascii="Arial" w:hAnsi="Arial" w:cs="Arial"/>
          <w:bCs/>
          <w:sz w:val="24"/>
          <w:szCs w:val="24"/>
        </w:rPr>
        <w:tab/>
      </w:r>
      <w:r w:rsidRPr="00497BBE">
        <w:rPr>
          <w:rFonts w:ascii="Arial" w:hAnsi="Arial" w:cs="Arial"/>
          <w:bCs/>
          <w:sz w:val="24"/>
          <w:szCs w:val="24"/>
        </w:rPr>
        <w:tab/>
      </w:r>
      <w:r w:rsidRPr="00497BBE">
        <w:rPr>
          <w:rFonts w:ascii="Arial" w:hAnsi="Arial" w:cs="Arial"/>
          <w:bCs/>
          <w:sz w:val="24"/>
          <w:szCs w:val="24"/>
        </w:rPr>
        <w:tab/>
        <w:t>NW5076E</w:t>
      </w:r>
    </w:p>
    <w:p w:rsidR="00497BBE" w:rsidRDefault="00497BBE" w:rsidP="006E09FF">
      <w:pPr>
        <w:tabs>
          <w:tab w:val="left" w:pos="0"/>
        </w:tabs>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rsidR="00497BBE" w:rsidRPr="00497BBE" w:rsidRDefault="00497BBE" w:rsidP="006E09FF">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497BBE">
        <w:rPr>
          <w:rFonts w:ascii="Arial" w:eastAsia="Times New Roman" w:hAnsi="Arial" w:cs="Arial"/>
          <w:b/>
          <w:sz w:val="24"/>
          <w:szCs w:val="24"/>
          <w:lang w:val="en-GB"/>
        </w:rPr>
        <w:t>R</w:t>
      </w:r>
      <w:r>
        <w:rPr>
          <w:rFonts w:ascii="Arial" w:eastAsia="Times New Roman" w:hAnsi="Arial" w:cs="Arial"/>
          <w:b/>
          <w:sz w:val="24"/>
          <w:szCs w:val="24"/>
          <w:lang w:val="en-GB"/>
        </w:rPr>
        <w:t xml:space="preserve">EPLY: </w:t>
      </w:r>
    </w:p>
    <w:p w:rsidR="00497BBE" w:rsidRPr="00497BBE" w:rsidRDefault="00497BBE" w:rsidP="006E09FF">
      <w:pPr>
        <w:numPr>
          <w:ilvl w:val="0"/>
          <w:numId w:val="33"/>
        </w:numPr>
        <w:tabs>
          <w:tab w:val="left" w:pos="0"/>
        </w:tabs>
        <w:spacing w:before="100" w:beforeAutospacing="1" w:after="100" w:afterAutospacing="1" w:line="320" w:lineRule="atLeast"/>
        <w:ind w:hanging="720"/>
        <w:jc w:val="both"/>
        <w:outlineLvl w:val="0"/>
        <w:rPr>
          <w:rFonts w:ascii="Arial" w:eastAsia="Times New Roman" w:hAnsi="Arial" w:cs="Arial"/>
          <w:sz w:val="24"/>
          <w:szCs w:val="24"/>
          <w:lang w:val="en-GB"/>
        </w:rPr>
      </w:pPr>
      <w:r w:rsidRPr="00497BBE">
        <w:rPr>
          <w:rFonts w:ascii="Arial" w:eastAsia="Times New Roman" w:hAnsi="Arial" w:cs="Arial"/>
          <w:sz w:val="24"/>
          <w:szCs w:val="24"/>
          <w:lang w:val="en-GB"/>
        </w:rPr>
        <w:t>Hereunder please find a list of argued matters in court and the amount spent on legal costs.</w:t>
      </w:r>
    </w:p>
    <w:p w:rsidR="00497BBE" w:rsidRPr="00497BBE" w:rsidRDefault="00497BBE" w:rsidP="006E09FF">
      <w:pPr>
        <w:tabs>
          <w:tab w:val="left" w:pos="0"/>
        </w:tabs>
        <w:spacing w:before="100" w:beforeAutospacing="1" w:after="100" w:afterAutospacing="1" w:line="320" w:lineRule="atLeast"/>
        <w:ind w:left="720"/>
        <w:jc w:val="both"/>
        <w:outlineLvl w:val="0"/>
        <w:rPr>
          <w:rFonts w:ascii="Arial" w:eastAsia="Times New Roman" w:hAnsi="Arial" w:cs="Arial"/>
          <w:sz w:val="24"/>
          <w:szCs w:val="24"/>
          <w:lang w:val="en-GB"/>
        </w:rPr>
      </w:pPr>
      <w:r w:rsidRPr="00497BBE">
        <w:rPr>
          <w:rFonts w:ascii="Arial" w:eastAsia="Times New Roman" w:hAnsi="Arial" w:cs="Arial"/>
          <w:b/>
          <w:sz w:val="24"/>
          <w:szCs w:val="24"/>
          <w:lang w:val="en-GB"/>
        </w:rPr>
        <w:t>NB:</w:t>
      </w:r>
      <w:r>
        <w:rPr>
          <w:rFonts w:ascii="Arial" w:eastAsia="Times New Roman" w:hAnsi="Arial" w:cs="Arial"/>
          <w:sz w:val="24"/>
          <w:szCs w:val="24"/>
          <w:lang w:val="en-GB"/>
        </w:rPr>
        <w:t xml:space="preserve"> </w:t>
      </w:r>
      <w:r w:rsidRPr="00497BBE">
        <w:rPr>
          <w:rFonts w:ascii="Arial" w:eastAsia="Times New Roman" w:hAnsi="Arial" w:cs="Arial"/>
          <w:sz w:val="24"/>
          <w:szCs w:val="24"/>
          <w:lang w:val="en-GB"/>
        </w:rPr>
        <w:t xml:space="preserve">Please note that where amounts are not stated it is because the Department is awaiting invoices of payments from the Department of Justice (State Attorney). The Department of Justice is responsible for payments on behalf of Client-Departments and the Departments in turn, reimburse the offices of the State Attorney. </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552"/>
        <w:gridCol w:w="2693"/>
        <w:gridCol w:w="2977"/>
        <w:gridCol w:w="1660"/>
      </w:tblGrid>
      <w:tr w:rsidR="00497BBE" w:rsidRPr="00497BBE" w:rsidTr="003B438E">
        <w:trPr>
          <w:trHeight w:val="290"/>
          <w:jc w:val="center"/>
        </w:trPr>
        <w:tc>
          <w:tcPr>
            <w:tcW w:w="10444" w:type="dxa"/>
            <w:gridSpan w:val="5"/>
            <w:shd w:val="clear" w:color="auto" w:fill="FFC000"/>
            <w:noWrap/>
          </w:tcPr>
          <w:p w:rsidR="00497BBE" w:rsidRPr="00497BBE" w:rsidRDefault="00497BBE" w:rsidP="003B438E">
            <w:pPr>
              <w:tabs>
                <w:tab w:val="left" w:pos="0"/>
              </w:tabs>
              <w:spacing w:before="100" w:beforeAutospacing="1" w:after="100" w:afterAutospacing="1" w:line="240" w:lineRule="auto"/>
              <w:jc w:val="center"/>
              <w:outlineLvl w:val="0"/>
              <w:rPr>
                <w:rFonts w:ascii="Arial" w:hAnsi="Arial" w:cs="Arial"/>
                <w:b/>
                <w:bCs/>
              </w:rPr>
            </w:pPr>
            <w:r w:rsidRPr="00497BBE">
              <w:rPr>
                <w:rFonts w:ascii="Arial" w:hAnsi="Arial" w:cs="Arial"/>
                <w:b/>
                <w:bCs/>
                <w:sz w:val="24"/>
              </w:rPr>
              <w:t>YEAR 2021 LOST MATTERS</w:t>
            </w:r>
          </w:p>
        </w:tc>
      </w:tr>
      <w:tr w:rsidR="00497BBE" w:rsidRPr="00497BBE" w:rsidTr="003B438E">
        <w:trPr>
          <w:trHeight w:val="290"/>
          <w:jc w:val="center"/>
        </w:trPr>
        <w:tc>
          <w:tcPr>
            <w:tcW w:w="562" w:type="dxa"/>
            <w:shd w:val="clear" w:color="auto" w:fill="auto"/>
            <w:noWrap/>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
                <w:bCs/>
              </w:rPr>
            </w:pPr>
          </w:p>
        </w:tc>
        <w:tc>
          <w:tcPr>
            <w:tcW w:w="2552" w:type="dxa"/>
            <w:shd w:val="clear" w:color="auto" w:fill="auto"/>
            <w:noWrap/>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
                <w:bCs/>
              </w:rPr>
            </w:pPr>
            <w:r w:rsidRPr="00497BBE">
              <w:rPr>
                <w:rFonts w:ascii="Arial" w:hAnsi="Arial" w:cs="Arial"/>
                <w:b/>
                <w:bCs/>
              </w:rPr>
              <w:t xml:space="preserve">NAMES </w:t>
            </w:r>
          </w:p>
        </w:tc>
        <w:tc>
          <w:tcPr>
            <w:tcW w:w="2693" w:type="dxa"/>
            <w:shd w:val="clear" w:color="auto" w:fill="auto"/>
            <w:noWrap/>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
                <w:bCs/>
              </w:rPr>
            </w:pPr>
            <w:r w:rsidRPr="00497BBE">
              <w:rPr>
                <w:rFonts w:ascii="Arial" w:hAnsi="Arial" w:cs="Arial"/>
                <w:b/>
                <w:bCs/>
              </w:rPr>
              <w:t>CATEGORY</w:t>
            </w:r>
          </w:p>
        </w:tc>
        <w:tc>
          <w:tcPr>
            <w:tcW w:w="2977" w:type="dxa"/>
            <w:shd w:val="clear" w:color="auto" w:fill="auto"/>
            <w:noWrap/>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
                <w:bCs/>
              </w:rPr>
            </w:pPr>
            <w:r w:rsidRPr="00497BBE">
              <w:rPr>
                <w:rFonts w:ascii="Arial" w:hAnsi="Arial" w:cs="Arial"/>
                <w:b/>
                <w:bCs/>
              </w:rPr>
              <w:t>REASON FOR THE APPLICATION</w:t>
            </w:r>
          </w:p>
        </w:tc>
        <w:tc>
          <w:tcPr>
            <w:tcW w:w="1660" w:type="dxa"/>
            <w:shd w:val="clear" w:color="auto" w:fill="auto"/>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
                <w:bCs/>
              </w:rPr>
            </w:pPr>
            <w:r w:rsidRPr="00497BBE">
              <w:rPr>
                <w:rFonts w:ascii="Arial" w:hAnsi="Arial" w:cs="Arial"/>
                <w:b/>
                <w:bCs/>
              </w:rPr>
              <w:t>TOTAL AMOUNT</w:t>
            </w:r>
          </w:p>
        </w:tc>
      </w:tr>
      <w:tr w:rsidR="00497BBE" w:rsidRPr="00497BBE" w:rsidTr="003B438E">
        <w:trPr>
          <w:trHeight w:val="290"/>
          <w:jc w:val="center"/>
        </w:trPr>
        <w:tc>
          <w:tcPr>
            <w:tcW w:w="562" w:type="dxa"/>
            <w:shd w:val="clear" w:color="auto" w:fill="auto"/>
            <w:noWrap/>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 xml:space="preserve"> 1</w:t>
            </w:r>
          </w:p>
        </w:tc>
        <w:tc>
          <w:tcPr>
            <w:tcW w:w="2552" w:type="dxa"/>
            <w:shd w:val="clear" w:color="auto" w:fill="auto"/>
            <w:noWrap/>
            <w:hideMark/>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Dembello Markos</w:t>
            </w:r>
          </w:p>
        </w:tc>
        <w:tc>
          <w:tcPr>
            <w:tcW w:w="2693" w:type="dxa"/>
            <w:shd w:val="clear" w:color="auto" w:fill="auto"/>
            <w:noWrap/>
            <w:hideMark/>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Immigration/ urgent</w:t>
            </w:r>
          </w:p>
        </w:tc>
        <w:tc>
          <w:tcPr>
            <w:tcW w:w="2977" w:type="dxa"/>
            <w:shd w:val="clear" w:color="auto" w:fill="auto"/>
            <w:noWrap/>
            <w:hideMark/>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Release from detention</w:t>
            </w:r>
          </w:p>
        </w:tc>
        <w:tc>
          <w:tcPr>
            <w:tcW w:w="1660" w:type="dxa"/>
            <w:shd w:val="clear" w:color="auto" w:fill="auto"/>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R209 052.95</w:t>
            </w:r>
          </w:p>
        </w:tc>
      </w:tr>
      <w:tr w:rsidR="00497BBE" w:rsidRPr="00497BBE" w:rsidTr="003B438E">
        <w:trPr>
          <w:trHeight w:val="290"/>
          <w:jc w:val="center"/>
        </w:trPr>
        <w:tc>
          <w:tcPr>
            <w:tcW w:w="562" w:type="dxa"/>
            <w:shd w:val="clear" w:color="auto" w:fill="auto"/>
            <w:noWrap/>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 xml:space="preserve"> 2</w:t>
            </w:r>
          </w:p>
        </w:tc>
        <w:tc>
          <w:tcPr>
            <w:tcW w:w="2552" w:type="dxa"/>
            <w:shd w:val="clear" w:color="auto" w:fill="auto"/>
            <w:noWrap/>
            <w:hideMark/>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Mbrik Barsodo Shafe</w:t>
            </w:r>
          </w:p>
        </w:tc>
        <w:tc>
          <w:tcPr>
            <w:tcW w:w="2693" w:type="dxa"/>
            <w:shd w:val="clear" w:color="auto" w:fill="auto"/>
            <w:noWrap/>
            <w:hideMark/>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 xml:space="preserve">Immigration </w:t>
            </w:r>
          </w:p>
        </w:tc>
        <w:tc>
          <w:tcPr>
            <w:tcW w:w="2977" w:type="dxa"/>
            <w:shd w:val="clear" w:color="auto" w:fill="auto"/>
            <w:noWrap/>
            <w:hideMark/>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Release from detention</w:t>
            </w:r>
          </w:p>
        </w:tc>
        <w:tc>
          <w:tcPr>
            <w:tcW w:w="1660" w:type="dxa"/>
            <w:shd w:val="clear" w:color="auto" w:fill="auto"/>
          </w:tcPr>
          <w:p w:rsidR="00497BBE" w:rsidRPr="00497BBE" w:rsidRDefault="00497BBE" w:rsidP="003B438E">
            <w:pPr>
              <w:tabs>
                <w:tab w:val="left" w:pos="0"/>
              </w:tabs>
              <w:spacing w:before="100" w:beforeAutospacing="1" w:after="100" w:afterAutospacing="1" w:line="240" w:lineRule="auto"/>
              <w:jc w:val="both"/>
              <w:outlineLvl w:val="0"/>
              <w:rPr>
                <w:rFonts w:ascii="Arial" w:hAnsi="Arial" w:cs="Arial"/>
                <w:bCs/>
              </w:rPr>
            </w:pPr>
            <w:r w:rsidRPr="00497BBE">
              <w:rPr>
                <w:rFonts w:ascii="Arial" w:hAnsi="Arial" w:cs="Arial"/>
                <w:bCs/>
              </w:rPr>
              <w:t>R16 618.77</w:t>
            </w:r>
          </w:p>
        </w:tc>
      </w:tr>
      <w:tr w:rsidR="00497BBE" w:rsidRPr="00497BBE" w:rsidTr="003B438E">
        <w:trPr>
          <w:trHeight w:val="255"/>
          <w:jc w:val="center"/>
        </w:trPr>
        <w:tc>
          <w:tcPr>
            <w:tcW w:w="562" w:type="dxa"/>
            <w:shd w:val="clear" w:color="auto" w:fill="auto"/>
            <w:noWrap/>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 3</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Alert Ndlovu</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Immigration </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R34 848.00</w:t>
            </w:r>
          </w:p>
        </w:tc>
      </w:tr>
      <w:tr w:rsidR="00497BBE" w:rsidRPr="00497BBE" w:rsidTr="003B438E">
        <w:trPr>
          <w:trHeight w:val="255"/>
          <w:jc w:val="center"/>
        </w:trPr>
        <w:tc>
          <w:tcPr>
            <w:tcW w:w="562" w:type="dxa"/>
            <w:shd w:val="clear" w:color="auto" w:fill="auto"/>
            <w:noWrap/>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 4</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Chand Uzzal Mondol</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R27 200.00</w:t>
            </w:r>
          </w:p>
        </w:tc>
      </w:tr>
      <w:tr w:rsidR="00497BBE" w:rsidRPr="00497BBE" w:rsidTr="003B438E">
        <w:trPr>
          <w:trHeight w:val="315"/>
          <w:jc w:val="center"/>
        </w:trPr>
        <w:tc>
          <w:tcPr>
            <w:tcW w:w="562" w:type="dxa"/>
            <w:shd w:val="clear" w:color="auto" w:fill="auto"/>
            <w:noWrap/>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 5</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Dwatat  Ashenut </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R1 615.98</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lastRenderedPageBreak/>
              <w:t xml:space="preserve"> 6</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Deroke Ashuro Abacho</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Immigration </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R76 525.72</w:t>
            </w:r>
          </w:p>
        </w:tc>
      </w:tr>
      <w:tr w:rsidR="00497BBE" w:rsidRPr="00497BBE" w:rsidTr="003B438E">
        <w:trPr>
          <w:trHeight w:val="300"/>
          <w:jc w:val="center"/>
        </w:trPr>
        <w:tc>
          <w:tcPr>
            <w:tcW w:w="562" w:type="dxa"/>
            <w:shd w:val="clear" w:color="auto" w:fill="auto"/>
            <w:noWrap/>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 7</w:t>
            </w:r>
          </w:p>
        </w:tc>
        <w:tc>
          <w:tcPr>
            <w:tcW w:w="2552" w:type="dxa"/>
            <w:shd w:val="clear" w:color="auto" w:fill="auto"/>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Khaled Abdelmoniem Foud</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Immigration/ urgent </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8</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Hassim Allamin</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9</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Faruk Omar</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Immigration/ urgent </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R173 119.97</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10</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S Ntukwana </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Labour relations Act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Re-instatement</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R53 100.00</w:t>
            </w:r>
          </w:p>
        </w:tc>
      </w:tr>
      <w:tr w:rsidR="00497BBE" w:rsidRPr="00497BBE" w:rsidTr="003B438E">
        <w:trPr>
          <w:trHeight w:val="31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11</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Herbert Mfabi &amp; &amp; Musana Luzake</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Immigration/ urgent </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R27 200.00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12</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Kamal Adissa Agbe Akinotcho</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R2 519.72</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13</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Manedo Ayano</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  and release to apply for asylum</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14</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 Lamboroko Berekete</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  and release to apply for asylum</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15</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Ababa Joseph</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  and release to apply for asylum</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16</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fayez Mohammed</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R27 744.00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17</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Kotiso Tsagae</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R35 700.00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18</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Amin Abukar and 5 others</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  and release to apply for asylum</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R70 000.00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19</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Fayeza Nuraden</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  and release to apply for asylum</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R47 775.00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20</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Douglas chidi Obere ofenedu</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  and release to apply for asylum</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21</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Rashid Adam</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  and release to apply for asylum</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R10 500.00</w:t>
            </w:r>
          </w:p>
        </w:tc>
      </w:tr>
      <w:tr w:rsidR="00497BBE" w:rsidRPr="00497BBE" w:rsidTr="003B438E">
        <w:trPr>
          <w:trHeight w:val="24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22</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Centre For Child Law // Minister of Home Affairs and others</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Births and Deaths Registration Act 51 of 1992</w:t>
            </w:r>
          </w:p>
        </w:tc>
        <w:tc>
          <w:tcPr>
            <w:tcW w:w="2977" w:type="dxa"/>
            <w:shd w:val="clear" w:color="auto" w:fill="auto"/>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constitutionality of section 10— section is unconstitutional</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R122 560.00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23</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mezene Tedessa Someno</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  and release to apply for asylum</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R89 182.50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24</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Mohlakore Matsaba</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Act/Citizenship,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Interdict deportation  </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R33 480.00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25</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Dutimo Bakala</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R82 100.49</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26</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Tugugn Tedesse Achamo</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R25 561.45</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27</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Birhu Kibamo &amp;Tesfaye John</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R19 200.00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28</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Detamo Wondmagan</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R106 261.55</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29</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Hussen Mohammed</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R102 395.07</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30</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Getachew Tirore Watango</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31</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Abeni Girma Teloro</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32</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Kanora Gabese Gabore</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R341 250.00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33</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Fhatuwani Sibanda</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Citizenship Act/ Immigration Act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R123 395.00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34</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kabula Ilunga</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R19 550.00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35</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Maria Belvedere Florencia </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Labour relations Act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Labour Matter</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R87 200.00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36</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Ramadhani Rajabu</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R40 341.19</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37</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Kamorudeen Tunde Isiaq</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R34 200.00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38</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Salamu Muramo Rejabo</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Urgent application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R11 400.00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39</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Dutimo Bakala</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R82 100.49</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40</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Echozona Lawrence Nnalue </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R23 015.00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41</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Bebeyi Sheye Niyi</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R18 050.00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42</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Daniel Amelate</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deportations</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R116 700.00</w:t>
            </w:r>
          </w:p>
        </w:tc>
      </w:tr>
      <w:tr w:rsidR="00497BBE" w:rsidRPr="00497BBE" w:rsidTr="003B438E">
        <w:trPr>
          <w:trHeight w:val="30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43</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Desta  Abore</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Immigration </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R97 490.00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44</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 Noyonkuru Elie</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R12 810.00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45</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Irutabantu Destiny</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R12 870.00</w:t>
            </w:r>
          </w:p>
        </w:tc>
      </w:tr>
      <w:tr w:rsidR="00497BBE" w:rsidRPr="00497BBE" w:rsidTr="003B438E">
        <w:trPr>
          <w:trHeight w:val="364"/>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p>
        </w:tc>
        <w:tc>
          <w:tcPr>
            <w:tcW w:w="2552" w:type="dxa"/>
            <w:shd w:val="clear" w:color="auto" w:fill="auto"/>
            <w:noWrap/>
          </w:tcPr>
          <w:p w:rsidR="00497BBE" w:rsidRPr="00497BBE" w:rsidRDefault="007F3707" w:rsidP="003B438E">
            <w:pPr>
              <w:spacing w:after="0" w:line="240" w:lineRule="auto"/>
              <w:rPr>
                <w:rFonts w:ascii="Arial" w:eastAsia="Times New Roman" w:hAnsi="Arial" w:cs="Arial"/>
                <w:b/>
                <w:color w:val="000000"/>
                <w:lang w:eastAsia="en-ZA"/>
              </w:rPr>
            </w:pPr>
            <w:r w:rsidRPr="003B438E">
              <w:rPr>
                <w:rFonts w:ascii="Arial" w:eastAsia="Times New Roman" w:hAnsi="Arial" w:cs="Arial"/>
                <w:b/>
                <w:color w:val="000000"/>
                <w:lang w:eastAsia="en-ZA"/>
              </w:rPr>
              <w:t>T</w:t>
            </w:r>
            <w:r w:rsidR="00497BBE" w:rsidRPr="00497BBE">
              <w:rPr>
                <w:rFonts w:ascii="Arial" w:eastAsia="Times New Roman" w:hAnsi="Arial" w:cs="Arial"/>
                <w:b/>
                <w:color w:val="000000"/>
                <w:lang w:eastAsia="en-ZA"/>
              </w:rPr>
              <w:t>OTAL</w:t>
            </w:r>
          </w:p>
        </w:tc>
        <w:tc>
          <w:tcPr>
            <w:tcW w:w="2693" w:type="dxa"/>
            <w:shd w:val="clear" w:color="auto" w:fill="auto"/>
            <w:noWrap/>
          </w:tcPr>
          <w:p w:rsidR="00497BBE" w:rsidRPr="00497BBE" w:rsidRDefault="00497BBE" w:rsidP="003B438E">
            <w:pPr>
              <w:spacing w:after="0" w:line="240" w:lineRule="auto"/>
              <w:rPr>
                <w:rFonts w:ascii="Arial" w:eastAsia="Times New Roman" w:hAnsi="Arial" w:cs="Arial"/>
                <w:b/>
                <w:color w:val="000000"/>
                <w:lang w:eastAsia="en-ZA"/>
              </w:rPr>
            </w:pPr>
          </w:p>
        </w:tc>
        <w:tc>
          <w:tcPr>
            <w:tcW w:w="2977" w:type="dxa"/>
            <w:shd w:val="clear" w:color="auto" w:fill="auto"/>
            <w:noWrap/>
          </w:tcPr>
          <w:p w:rsidR="00497BBE" w:rsidRPr="00497BBE" w:rsidRDefault="00497BBE" w:rsidP="003B438E">
            <w:pPr>
              <w:spacing w:after="0" w:line="240" w:lineRule="auto"/>
              <w:rPr>
                <w:rFonts w:ascii="Arial" w:eastAsia="Times New Roman" w:hAnsi="Arial" w:cs="Arial"/>
                <w:b/>
                <w:color w:val="000000"/>
                <w:lang w:eastAsia="en-ZA"/>
              </w:rPr>
            </w:pPr>
          </w:p>
        </w:tc>
        <w:tc>
          <w:tcPr>
            <w:tcW w:w="1660" w:type="dxa"/>
            <w:shd w:val="clear" w:color="auto" w:fill="auto"/>
          </w:tcPr>
          <w:p w:rsidR="00497BBE" w:rsidRPr="00497BBE" w:rsidRDefault="00497BBE" w:rsidP="003B438E">
            <w:pPr>
              <w:spacing w:after="0" w:line="240" w:lineRule="auto"/>
              <w:rPr>
                <w:rFonts w:ascii="Arial" w:eastAsia="Times New Roman" w:hAnsi="Arial" w:cs="Arial"/>
                <w:b/>
                <w:color w:val="000000"/>
                <w:lang w:eastAsia="en-ZA"/>
              </w:rPr>
            </w:pPr>
            <w:r w:rsidRPr="00497BBE">
              <w:rPr>
                <w:rFonts w:ascii="Arial" w:eastAsia="Times New Roman" w:hAnsi="Arial" w:cs="Arial"/>
                <w:b/>
                <w:color w:val="000000"/>
                <w:lang w:eastAsia="en-ZA"/>
              </w:rPr>
              <w:t>R2 259 328.85</w:t>
            </w:r>
          </w:p>
          <w:p w:rsidR="00497BBE" w:rsidRPr="00497BBE" w:rsidRDefault="00497BBE" w:rsidP="003B438E">
            <w:pPr>
              <w:spacing w:after="0" w:line="240" w:lineRule="auto"/>
              <w:rPr>
                <w:rFonts w:ascii="Arial" w:eastAsia="Times New Roman" w:hAnsi="Arial" w:cs="Arial"/>
                <w:b/>
                <w:color w:val="000000"/>
                <w:lang w:eastAsia="en-ZA"/>
              </w:rPr>
            </w:pPr>
          </w:p>
        </w:tc>
      </w:tr>
      <w:tr w:rsidR="00497BBE" w:rsidRPr="00497BBE" w:rsidTr="003B438E">
        <w:trPr>
          <w:trHeight w:val="290"/>
          <w:jc w:val="center"/>
        </w:trPr>
        <w:tc>
          <w:tcPr>
            <w:tcW w:w="10444" w:type="dxa"/>
            <w:gridSpan w:val="5"/>
            <w:shd w:val="clear" w:color="auto" w:fill="FFC000"/>
            <w:noWrap/>
          </w:tcPr>
          <w:p w:rsidR="00497BBE" w:rsidRPr="00497BBE" w:rsidRDefault="00497BBE" w:rsidP="003B438E">
            <w:pPr>
              <w:spacing w:after="0" w:line="240" w:lineRule="auto"/>
              <w:jc w:val="center"/>
              <w:rPr>
                <w:rFonts w:ascii="Arial" w:eastAsia="Times New Roman" w:hAnsi="Arial" w:cs="Arial"/>
                <w:b/>
                <w:color w:val="000000"/>
                <w:lang w:eastAsia="en-ZA"/>
              </w:rPr>
            </w:pPr>
            <w:r w:rsidRPr="00497BBE">
              <w:rPr>
                <w:rFonts w:ascii="Arial" w:eastAsia="Times New Roman" w:hAnsi="Arial" w:cs="Arial"/>
                <w:b/>
                <w:color w:val="000000"/>
                <w:lang w:eastAsia="en-ZA"/>
              </w:rPr>
              <w:t>YEAR 2022 LOST MATTERS</w:t>
            </w:r>
          </w:p>
        </w:tc>
      </w:tr>
      <w:tr w:rsidR="00497BBE" w:rsidRPr="00497BBE" w:rsidTr="003B438E">
        <w:trPr>
          <w:trHeight w:val="290"/>
          <w:jc w:val="center"/>
        </w:trPr>
        <w:tc>
          <w:tcPr>
            <w:tcW w:w="562" w:type="dxa"/>
            <w:shd w:val="clear" w:color="auto" w:fill="FFFFFF"/>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1</w:t>
            </w:r>
          </w:p>
        </w:tc>
        <w:tc>
          <w:tcPr>
            <w:tcW w:w="2552" w:type="dxa"/>
            <w:shd w:val="clear" w:color="auto" w:fill="FFFFFF"/>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Genamo Solomon</w:t>
            </w:r>
          </w:p>
        </w:tc>
        <w:tc>
          <w:tcPr>
            <w:tcW w:w="2693" w:type="dxa"/>
            <w:shd w:val="clear" w:color="auto" w:fill="FFFFFF"/>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FFFFFF"/>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Release from detention</w:t>
            </w:r>
          </w:p>
        </w:tc>
        <w:tc>
          <w:tcPr>
            <w:tcW w:w="1660" w:type="dxa"/>
            <w:shd w:val="clear" w:color="auto" w:fill="FFFFFF"/>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2</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Claire Breukel and Elisa Sofia Sain Serrano// minister of home affairs and others</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Act/urgent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POE</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R373 235.00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3</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Denise Charlotte Hausermann Gordon-Kind</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 /prohibition sec 29(2)</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prohibition sec 29(2) review</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R53 586.89</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4</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Ziaul Hoque&amp;4 others vs Minister of home affairs and one other</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Setting aside decision on PR applications</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R25 200.00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5</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Hossan Mohammad Delawar</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Immigration Act/refugee Act</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Interdict against deportation</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Awaiting invoice from Justice</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r w:rsidRPr="00497BBE">
              <w:rPr>
                <w:rFonts w:ascii="Arial" w:eastAsia="Times New Roman" w:hAnsi="Arial" w:cs="Arial"/>
                <w:color w:val="000000"/>
                <w:lang w:eastAsia="en-ZA"/>
              </w:rPr>
              <w:t>6</w:t>
            </w:r>
          </w:p>
        </w:tc>
        <w:tc>
          <w:tcPr>
            <w:tcW w:w="2552"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Ursula Jenny Dinah Jantjies and Vili Krasimmirov Georgiev</w:t>
            </w:r>
          </w:p>
        </w:tc>
        <w:tc>
          <w:tcPr>
            <w:tcW w:w="2693"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 xml:space="preserve">Amendments </w:t>
            </w:r>
          </w:p>
        </w:tc>
        <w:tc>
          <w:tcPr>
            <w:tcW w:w="2977" w:type="dxa"/>
            <w:shd w:val="clear" w:color="auto" w:fill="auto"/>
            <w:noWrap/>
            <w:hideMark/>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Ordering department to amend the details of applicant on Birth register</w:t>
            </w:r>
          </w:p>
        </w:tc>
        <w:tc>
          <w:tcPr>
            <w:tcW w:w="1660" w:type="dxa"/>
            <w:shd w:val="clear" w:color="auto" w:fill="auto"/>
          </w:tcPr>
          <w:p w:rsidR="00497BBE" w:rsidRPr="00497BBE" w:rsidRDefault="00497BBE" w:rsidP="003B438E">
            <w:pPr>
              <w:spacing w:after="0" w:line="240" w:lineRule="auto"/>
              <w:rPr>
                <w:rFonts w:ascii="Arial" w:eastAsia="Times New Roman" w:hAnsi="Arial" w:cs="Arial"/>
                <w:color w:val="000000"/>
                <w:lang w:eastAsia="en-ZA"/>
              </w:rPr>
            </w:pPr>
            <w:r w:rsidRPr="00497BBE">
              <w:rPr>
                <w:rFonts w:ascii="Arial" w:eastAsia="Times New Roman" w:hAnsi="Arial" w:cs="Arial"/>
                <w:color w:val="000000"/>
                <w:lang w:eastAsia="en-ZA"/>
              </w:rPr>
              <w:t>R53 000.00</w:t>
            </w:r>
          </w:p>
        </w:tc>
      </w:tr>
      <w:tr w:rsidR="00497BBE" w:rsidRPr="00497BBE" w:rsidTr="003B438E">
        <w:trPr>
          <w:trHeight w:val="290"/>
          <w:jc w:val="center"/>
        </w:trPr>
        <w:tc>
          <w:tcPr>
            <w:tcW w:w="562" w:type="dxa"/>
            <w:shd w:val="clear" w:color="auto" w:fill="auto"/>
            <w:noWrap/>
          </w:tcPr>
          <w:p w:rsidR="00497BBE" w:rsidRPr="00497BBE" w:rsidRDefault="00497BBE" w:rsidP="003B438E">
            <w:pPr>
              <w:spacing w:after="0" w:line="240" w:lineRule="auto"/>
              <w:jc w:val="center"/>
              <w:rPr>
                <w:rFonts w:ascii="Arial" w:eastAsia="Times New Roman" w:hAnsi="Arial" w:cs="Arial"/>
                <w:color w:val="000000"/>
                <w:lang w:eastAsia="en-ZA"/>
              </w:rPr>
            </w:pPr>
          </w:p>
        </w:tc>
        <w:tc>
          <w:tcPr>
            <w:tcW w:w="2552" w:type="dxa"/>
            <w:shd w:val="clear" w:color="auto" w:fill="auto"/>
            <w:noWrap/>
          </w:tcPr>
          <w:p w:rsidR="00497BBE" w:rsidRPr="00497BBE" w:rsidRDefault="007F3707" w:rsidP="003B438E">
            <w:pPr>
              <w:spacing w:after="0" w:line="240" w:lineRule="auto"/>
              <w:rPr>
                <w:rFonts w:ascii="Arial" w:eastAsia="Times New Roman" w:hAnsi="Arial" w:cs="Arial"/>
                <w:b/>
                <w:color w:val="000000"/>
                <w:lang w:eastAsia="en-ZA"/>
              </w:rPr>
            </w:pPr>
            <w:r w:rsidRPr="003B438E">
              <w:rPr>
                <w:rFonts w:ascii="Arial" w:eastAsia="Times New Roman" w:hAnsi="Arial" w:cs="Arial"/>
                <w:b/>
                <w:color w:val="000000"/>
                <w:lang w:eastAsia="en-ZA"/>
              </w:rPr>
              <w:t>TOTA</w:t>
            </w:r>
            <w:r w:rsidR="00497BBE" w:rsidRPr="00497BBE">
              <w:rPr>
                <w:rFonts w:ascii="Arial" w:eastAsia="Times New Roman" w:hAnsi="Arial" w:cs="Arial"/>
                <w:b/>
                <w:color w:val="000000"/>
                <w:lang w:eastAsia="en-ZA"/>
              </w:rPr>
              <w:t xml:space="preserve">L </w:t>
            </w:r>
          </w:p>
        </w:tc>
        <w:tc>
          <w:tcPr>
            <w:tcW w:w="2693" w:type="dxa"/>
            <w:shd w:val="clear" w:color="auto" w:fill="auto"/>
            <w:noWrap/>
          </w:tcPr>
          <w:p w:rsidR="00497BBE" w:rsidRPr="00497BBE" w:rsidRDefault="00497BBE" w:rsidP="003B438E">
            <w:pPr>
              <w:spacing w:after="0" w:line="240" w:lineRule="auto"/>
              <w:rPr>
                <w:rFonts w:ascii="Arial" w:eastAsia="Times New Roman" w:hAnsi="Arial" w:cs="Arial"/>
                <w:b/>
                <w:color w:val="000000"/>
                <w:lang w:eastAsia="en-ZA"/>
              </w:rPr>
            </w:pPr>
          </w:p>
        </w:tc>
        <w:tc>
          <w:tcPr>
            <w:tcW w:w="2977" w:type="dxa"/>
            <w:shd w:val="clear" w:color="auto" w:fill="auto"/>
            <w:noWrap/>
          </w:tcPr>
          <w:p w:rsidR="00497BBE" w:rsidRPr="00497BBE" w:rsidRDefault="00497BBE" w:rsidP="003B438E">
            <w:pPr>
              <w:spacing w:after="0" w:line="240" w:lineRule="auto"/>
              <w:rPr>
                <w:rFonts w:ascii="Arial" w:eastAsia="Times New Roman" w:hAnsi="Arial" w:cs="Arial"/>
                <w:b/>
                <w:color w:val="000000"/>
                <w:lang w:eastAsia="en-ZA"/>
              </w:rPr>
            </w:pPr>
          </w:p>
        </w:tc>
        <w:tc>
          <w:tcPr>
            <w:tcW w:w="1660" w:type="dxa"/>
            <w:shd w:val="clear" w:color="auto" w:fill="auto"/>
          </w:tcPr>
          <w:p w:rsidR="00497BBE" w:rsidRPr="00497BBE" w:rsidRDefault="00497BBE" w:rsidP="003B438E">
            <w:pPr>
              <w:spacing w:after="0" w:line="240" w:lineRule="auto"/>
              <w:rPr>
                <w:rFonts w:ascii="Arial" w:eastAsia="Times New Roman" w:hAnsi="Arial" w:cs="Arial"/>
                <w:b/>
                <w:color w:val="000000"/>
                <w:lang w:eastAsia="en-ZA"/>
              </w:rPr>
            </w:pPr>
            <w:r w:rsidRPr="00497BBE">
              <w:rPr>
                <w:rFonts w:ascii="Arial" w:eastAsia="Times New Roman" w:hAnsi="Arial" w:cs="Arial"/>
                <w:b/>
                <w:color w:val="000000"/>
                <w:lang w:eastAsia="en-ZA"/>
              </w:rPr>
              <w:t>R532 021.89</w:t>
            </w:r>
          </w:p>
          <w:p w:rsidR="00497BBE" w:rsidRPr="00497BBE" w:rsidRDefault="00497BBE" w:rsidP="003B438E">
            <w:pPr>
              <w:spacing w:after="0" w:line="240" w:lineRule="auto"/>
              <w:rPr>
                <w:rFonts w:ascii="Arial" w:eastAsia="Times New Roman" w:hAnsi="Arial" w:cs="Arial"/>
                <w:b/>
                <w:color w:val="000000"/>
                <w:lang w:eastAsia="en-ZA"/>
              </w:rPr>
            </w:pPr>
          </w:p>
        </w:tc>
      </w:tr>
    </w:tbl>
    <w:p w:rsidR="007F3707" w:rsidRDefault="007F3707" w:rsidP="007F3707">
      <w:pPr>
        <w:tabs>
          <w:tab w:val="left" w:pos="0"/>
        </w:tabs>
        <w:spacing w:before="100" w:beforeAutospacing="1" w:after="100" w:afterAutospacing="1" w:line="240" w:lineRule="auto"/>
        <w:ind w:left="720"/>
        <w:jc w:val="both"/>
        <w:outlineLvl w:val="0"/>
        <w:rPr>
          <w:rFonts w:ascii="Arial" w:eastAsia="Times New Roman" w:hAnsi="Arial" w:cs="Arial"/>
          <w:sz w:val="24"/>
          <w:szCs w:val="24"/>
          <w:lang w:val="en-GB"/>
        </w:rPr>
      </w:pPr>
    </w:p>
    <w:p w:rsidR="00497BBE" w:rsidRPr="00497BBE" w:rsidRDefault="00497BBE" w:rsidP="007F3707">
      <w:pPr>
        <w:numPr>
          <w:ilvl w:val="0"/>
          <w:numId w:val="33"/>
        </w:numPr>
        <w:tabs>
          <w:tab w:val="left" w:pos="0"/>
        </w:tabs>
        <w:spacing w:before="100" w:beforeAutospacing="1" w:after="100" w:afterAutospacing="1" w:line="240" w:lineRule="auto"/>
        <w:ind w:hanging="720"/>
        <w:jc w:val="both"/>
        <w:outlineLvl w:val="0"/>
        <w:rPr>
          <w:rFonts w:ascii="Arial" w:eastAsia="Times New Roman" w:hAnsi="Arial" w:cs="Arial"/>
          <w:sz w:val="24"/>
          <w:szCs w:val="24"/>
          <w:lang w:val="en-GB"/>
        </w:rPr>
      </w:pPr>
      <w:r w:rsidRPr="00497BBE">
        <w:rPr>
          <w:rFonts w:ascii="Arial" w:eastAsia="Times New Roman" w:hAnsi="Arial" w:cs="Arial"/>
          <w:sz w:val="24"/>
          <w:szCs w:val="24"/>
          <w:lang w:val="en-GB"/>
        </w:rPr>
        <w:t>The Department has incurred R27 071 037.81 in cost orders for the financial year 2021/2022.</w:t>
      </w:r>
      <w:r w:rsidR="007F3707">
        <w:rPr>
          <w:rFonts w:ascii="Arial" w:eastAsia="Times New Roman" w:hAnsi="Arial" w:cs="Arial"/>
          <w:sz w:val="24"/>
          <w:szCs w:val="24"/>
          <w:lang w:val="en-GB"/>
        </w:rPr>
        <w:t xml:space="preserve"> </w:t>
      </w:r>
      <w:r w:rsidRPr="00497BBE">
        <w:rPr>
          <w:rFonts w:ascii="Arial" w:eastAsia="Times New Roman" w:hAnsi="Arial" w:cs="Arial"/>
          <w:sz w:val="24"/>
          <w:szCs w:val="24"/>
          <w:lang w:val="en-GB"/>
        </w:rPr>
        <w:t>This composes of settled matters, mandamus applications, costs ordered by the courts, etc.</w:t>
      </w:r>
    </w:p>
    <w:p w:rsidR="00497BBE" w:rsidRPr="00497BBE" w:rsidRDefault="00497BBE" w:rsidP="007F3707">
      <w:pPr>
        <w:tabs>
          <w:tab w:val="left" w:pos="0"/>
        </w:tabs>
        <w:spacing w:before="100" w:beforeAutospacing="1" w:after="100" w:afterAutospacing="1" w:line="240" w:lineRule="auto"/>
        <w:ind w:left="720"/>
        <w:jc w:val="both"/>
        <w:outlineLvl w:val="0"/>
        <w:rPr>
          <w:rFonts w:ascii="Arial" w:eastAsia="Times New Roman" w:hAnsi="Arial" w:cs="Arial"/>
          <w:sz w:val="24"/>
          <w:szCs w:val="24"/>
          <w:lang w:val="en-GB"/>
        </w:rPr>
      </w:pPr>
      <w:r w:rsidRPr="00497BBE">
        <w:rPr>
          <w:rFonts w:ascii="Arial" w:eastAsia="Times New Roman" w:hAnsi="Arial" w:cs="Arial"/>
          <w:sz w:val="24"/>
          <w:szCs w:val="24"/>
          <w:lang w:val="en-GB"/>
        </w:rPr>
        <w:t xml:space="preserve">The Department has incurred R10 951 153.39 in cost orders from 1 April 2022 to date. </w:t>
      </w:r>
    </w:p>
    <w:p w:rsidR="00497BBE" w:rsidRPr="00497BBE" w:rsidRDefault="007F3707" w:rsidP="007F3707">
      <w:pPr>
        <w:spacing w:after="0" w:line="320" w:lineRule="exact"/>
        <w:ind w:left="709" w:hanging="709"/>
        <w:jc w:val="both"/>
        <w:rPr>
          <w:rFonts w:ascii="Arial" w:eastAsia="Times New Roman" w:hAnsi="Arial" w:cs="Arial"/>
          <w:sz w:val="24"/>
          <w:szCs w:val="24"/>
          <w:lang w:val="en-GB"/>
        </w:rPr>
      </w:pPr>
      <w:r>
        <w:rPr>
          <w:rFonts w:ascii="Arial" w:eastAsia="Times New Roman" w:hAnsi="Arial" w:cs="Arial"/>
          <w:sz w:val="24"/>
          <w:szCs w:val="24"/>
          <w:lang w:val="en-GB"/>
        </w:rPr>
        <w:t>(c)</w:t>
      </w:r>
      <w:r>
        <w:rPr>
          <w:rFonts w:ascii="Arial" w:eastAsia="Times New Roman" w:hAnsi="Arial" w:cs="Arial"/>
          <w:sz w:val="24"/>
          <w:szCs w:val="24"/>
          <w:lang w:val="en-GB"/>
        </w:rPr>
        <w:tab/>
        <w:t>Th</w:t>
      </w:r>
      <w:r w:rsidR="00497BBE" w:rsidRPr="00497BBE">
        <w:rPr>
          <w:rFonts w:ascii="Arial" w:eastAsia="Times New Roman" w:hAnsi="Arial" w:cs="Arial"/>
          <w:sz w:val="24"/>
          <w:szCs w:val="24"/>
          <w:lang w:val="en-GB"/>
        </w:rPr>
        <w:t>e total amount of contingent liabilities for financial year 2021/2022 is</w:t>
      </w:r>
      <w:r>
        <w:rPr>
          <w:rFonts w:ascii="Arial" w:eastAsia="Times New Roman" w:hAnsi="Arial" w:cs="Arial"/>
          <w:sz w:val="24"/>
          <w:szCs w:val="24"/>
          <w:lang w:val="en-GB"/>
        </w:rPr>
        <w:t xml:space="preserve">                   </w:t>
      </w:r>
      <w:r w:rsidR="00497BBE" w:rsidRPr="00497BBE">
        <w:rPr>
          <w:rFonts w:ascii="Arial" w:eastAsia="Times New Roman" w:hAnsi="Arial" w:cs="Arial"/>
          <w:sz w:val="24"/>
          <w:szCs w:val="24"/>
          <w:lang w:val="en-GB"/>
        </w:rPr>
        <w:t>R 2 107</w:t>
      </w:r>
      <w:r w:rsidR="007857F7">
        <w:rPr>
          <w:rFonts w:ascii="Arial" w:eastAsia="Times New Roman" w:hAnsi="Arial" w:cs="Arial"/>
          <w:sz w:val="24"/>
          <w:szCs w:val="24"/>
          <w:lang w:val="en-GB"/>
        </w:rPr>
        <w:t> </w:t>
      </w:r>
      <w:r w:rsidR="00497BBE" w:rsidRPr="00497BBE">
        <w:rPr>
          <w:rFonts w:ascii="Arial" w:eastAsia="Times New Roman" w:hAnsi="Arial" w:cs="Arial"/>
          <w:sz w:val="24"/>
          <w:szCs w:val="24"/>
          <w:lang w:val="en-GB"/>
        </w:rPr>
        <w:t>068</w:t>
      </w:r>
      <w:r w:rsidR="007857F7">
        <w:rPr>
          <w:rFonts w:ascii="Arial" w:eastAsia="Times New Roman" w:hAnsi="Arial" w:cs="Arial"/>
          <w:sz w:val="24"/>
          <w:szCs w:val="24"/>
          <w:lang w:val="en-GB"/>
        </w:rPr>
        <w:t xml:space="preserve"> 000</w:t>
      </w:r>
      <w:r w:rsidR="00497BBE" w:rsidRPr="00497BBE">
        <w:rPr>
          <w:rFonts w:ascii="Arial" w:eastAsia="Times New Roman" w:hAnsi="Arial" w:cs="Arial"/>
          <w:sz w:val="24"/>
          <w:szCs w:val="24"/>
          <w:lang w:val="en-GB"/>
        </w:rPr>
        <w:t>.00</w:t>
      </w:r>
    </w:p>
    <w:p w:rsidR="00497BBE" w:rsidRPr="00497BBE" w:rsidRDefault="00497BBE" w:rsidP="00497BBE">
      <w:pPr>
        <w:spacing w:after="0" w:line="320" w:lineRule="exact"/>
        <w:jc w:val="both"/>
        <w:rPr>
          <w:rFonts w:ascii="Arial Narrow" w:eastAsia="Times New Roman" w:hAnsi="Arial Narrow" w:cs="Arial"/>
          <w:sz w:val="24"/>
          <w:szCs w:val="24"/>
          <w:lang w:val="en-GB"/>
        </w:rPr>
      </w:pPr>
    </w:p>
    <w:p w:rsidR="00497BBE" w:rsidRDefault="00497BBE" w:rsidP="006B61FA">
      <w:pPr>
        <w:spacing w:after="0" w:line="320" w:lineRule="exact"/>
        <w:jc w:val="both"/>
        <w:rPr>
          <w:rFonts w:ascii="Arial Narrow" w:eastAsia="Times New Roman" w:hAnsi="Arial Narrow" w:cs="Arial"/>
          <w:b/>
          <w:bCs/>
          <w:sz w:val="24"/>
          <w:szCs w:val="24"/>
          <w:lang w:val="en-GB"/>
        </w:rPr>
      </w:pPr>
    </w:p>
    <w:p w:rsidR="00E234AE" w:rsidRPr="00E234AE" w:rsidRDefault="00804E06" w:rsidP="0013256D">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p w:rsidR="00400BA7" w:rsidRPr="00400BA7" w:rsidRDefault="006B61FA" w:rsidP="006B61FA">
      <w:pPr>
        <w:tabs>
          <w:tab w:val="left" w:pos="8540"/>
        </w:tabs>
        <w:rPr>
          <w:rFonts w:ascii="Arial" w:hAnsi="Arial" w:cs="Arial"/>
          <w:sz w:val="24"/>
          <w:szCs w:val="24"/>
        </w:rPr>
      </w:pPr>
      <w:r>
        <w:rPr>
          <w:rFonts w:ascii="Arial" w:hAnsi="Arial" w:cs="Arial"/>
          <w:sz w:val="24"/>
          <w:szCs w:val="24"/>
        </w:rPr>
        <w:tab/>
      </w:r>
    </w:p>
    <w:p w:rsidR="00456148" w:rsidRPr="00400BA7" w:rsidRDefault="00456148" w:rsidP="00400BA7">
      <w:pPr>
        <w:rPr>
          <w:rFonts w:ascii="Arial" w:hAnsi="Arial" w:cs="Arial"/>
          <w:sz w:val="24"/>
          <w:szCs w:val="24"/>
        </w:rPr>
      </w:pPr>
    </w:p>
    <w:sectPr w:rsidR="00456148" w:rsidRPr="00400BA7" w:rsidSect="00497BBE">
      <w:headerReference w:type="default" r:id="rId9"/>
      <w:footerReference w:type="even" r:id="rId10"/>
      <w:footerReference w:type="default" r:id="rId11"/>
      <w:footerReference w:type="first" r:id="rId12"/>
      <w:pgSz w:w="12240" w:h="15840" w:code="1"/>
      <w:pgMar w:top="284"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7D" w:rsidRDefault="00D2567D" w:rsidP="00670234">
      <w:pPr>
        <w:spacing w:after="0" w:line="240" w:lineRule="auto"/>
      </w:pPr>
      <w:r>
        <w:separator/>
      </w:r>
    </w:p>
  </w:endnote>
  <w:endnote w:type="continuationSeparator" w:id="0">
    <w:p w:rsidR="00D2567D" w:rsidRDefault="00D2567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64EAA"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406</w:t>
    </w:r>
    <w:r w:rsidR="00497BBE">
      <w:rPr>
        <w:rFonts w:ascii="Arial" w:eastAsia="Times New Roman" w:hAnsi="Arial" w:cs="Arial"/>
        <w:b/>
        <w:bCs/>
        <w:sz w:val="20"/>
        <w:szCs w:val="20"/>
      </w:rPr>
      <w:t>7</w:t>
    </w:r>
    <w:r>
      <w:rPr>
        <w:rFonts w:ascii="Arial" w:eastAsia="Times New Roman" w:hAnsi="Arial" w:cs="Arial"/>
        <w:b/>
        <w:bCs/>
        <w:sz w:val="20"/>
        <w:szCs w:val="20"/>
      </w:rPr>
      <w:t xml:space="preserve">. </w:t>
    </w:r>
    <w:r w:rsidRPr="00A64EAA">
      <w:rPr>
        <w:rFonts w:ascii="Arial" w:eastAsia="Times New Roman" w:hAnsi="Arial" w:cs="Arial"/>
        <w:b/>
        <w:bCs/>
        <w:sz w:val="20"/>
        <w:szCs w:val="20"/>
      </w:rPr>
      <w:t>Mr A C Roos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592F48" w:rsidRPr="00592F48">
        <w:rPr>
          <w:rFonts w:ascii="Cambria" w:eastAsia="Times New Roman" w:hAnsi="Cambria"/>
          <w:noProof/>
        </w:rPr>
        <w:t>4</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64EAA"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406</w:t>
    </w:r>
    <w:r w:rsidR="00497BBE">
      <w:rPr>
        <w:rFonts w:ascii="Arial" w:eastAsia="Times New Roman" w:hAnsi="Arial" w:cs="Arial"/>
        <w:b/>
        <w:bCs/>
        <w:sz w:val="20"/>
        <w:szCs w:val="20"/>
      </w:rPr>
      <w:t>7</w:t>
    </w:r>
    <w:r>
      <w:rPr>
        <w:rFonts w:ascii="Arial" w:eastAsia="Times New Roman" w:hAnsi="Arial" w:cs="Arial"/>
        <w:b/>
        <w:bCs/>
        <w:sz w:val="20"/>
        <w:szCs w:val="20"/>
      </w:rPr>
      <w:t xml:space="preserve">. </w:t>
    </w:r>
    <w:r w:rsidRPr="00A64EAA">
      <w:rPr>
        <w:rFonts w:ascii="Arial" w:eastAsia="Times New Roman" w:hAnsi="Arial" w:cs="Arial"/>
        <w:b/>
        <w:bCs/>
        <w:sz w:val="20"/>
        <w:szCs w:val="20"/>
      </w:rPr>
      <w:t xml:space="preserve">Mr A C Roos (DA)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7D" w:rsidRDefault="00D2567D" w:rsidP="00670234">
      <w:pPr>
        <w:spacing w:after="0" w:line="240" w:lineRule="auto"/>
      </w:pPr>
      <w:r>
        <w:separator/>
      </w:r>
    </w:p>
  </w:footnote>
  <w:footnote w:type="continuationSeparator" w:id="0">
    <w:p w:rsidR="00D2567D" w:rsidRDefault="00D2567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592F48">
        <w:rPr>
          <w:noProof/>
        </w:rPr>
        <w:t>4</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7">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8">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2">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7"/>
  </w:num>
  <w:num w:numId="2">
    <w:abstractNumId w:val="8"/>
  </w:num>
  <w:num w:numId="3">
    <w:abstractNumId w:val="5"/>
  </w:num>
  <w:num w:numId="4">
    <w:abstractNumId w:val="22"/>
  </w:num>
  <w:num w:numId="5">
    <w:abstractNumId w:val="13"/>
  </w:num>
  <w:num w:numId="6">
    <w:abstractNumId w:val="4"/>
  </w:num>
  <w:num w:numId="7">
    <w:abstractNumId w:val="23"/>
  </w:num>
  <w:num w:numId="8">
    <w:abstractNumId w:val="31"/>
  </w:num>
  <w:num w:numId="9">
    <w:abstractNumId w:val="27"/>
  </w:num>
  <w:num w:numId="10">
    <w:abstractNumId w:val="21"/>
  </w:num>
  <w:num w:numId="11">
    <w:abstractNumId w:val="14"/>
  </w:num>
  <w:num w:numId="12">
    <w:abstractNumId w:val="28"/>
  </w:num>
  <w:num w:numId="13">
    <w:abstractNumId w:val="7"/>
  </w:num>
  <w:num w:numId="14">
    <w:abstractNumId w:val="0"/>
  </w:num>
  <w:num w:numId="15">
    <w:abstractNumId w:val="2"/>
  </w:num>
  <w:num w:numId="16">
    <w:abstractNumId w:val="24"/>
  </w:num>
  <w:num w:numId="17">
    <w:abstractNumId w:val="30"/>
  </w:num>
  <w:num w:numId="18">
    <w:abstractNumId w:val="1"/>
  </w:num>
  <w:num w:numId="19">
    <w:abstractNumId w:val="10"/>
  </w:num>
  <w:num w:numId="20">
    <w:abstractNumId w:val="3"/>
  </w:num>
  <w:num w:numId="21">
    <w:abstractNumId w:val="16"/>
  </w:num>
  <w:num w:numId="22">
    <w:abstractNumId w:val="9"/>
  </w:num>
  <w:num w:numId="23">
    <w:abstractNumId w:val="29"/>
  </w:num>
  <w:num w:numId="24">
    <w:abstractNumId w:val="25"/>
  </w:num>
  <w:num w:numId="25">
    <w:abstractNumId w:val="6"/>
  </w:num>
  <w:num w:numId="26">
    <w:abstractNumId w:val="15"/>
  </w:num>
  <w:num w:numId="27">
    <w:abstractNumId w:val="20"/>
  </w:num>
  <w:num w:numId="28">
    <w:abstractNumId w:val="1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lvlOverride w:ilvl="3"/>
    <w:lvlOverride w:ilvl="4"/>
    <w:lvlOverride w:ilvl="5"/>
    <w:lvlOverride w:ilvl="6"/>
    <w:lvlOverride w:ilvl="7"/>
    <w:lvlOverride w:ilv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lvlOverride w:ilvl="2"/>
    <w:lvlOverride w:ilvl="3"/>
    <w:lvlOverride w:ilvl="4"/>
    <w:lvlOverride w:ilvl="5"/>
    <w:lvlOverride w:ilvl="6"/>
    <w:lvlOverride w:ilvl="7"/>
    <w:lvlOverride w:ilvl="8"/>
  </w:num>
  <w:num w:numId="33">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268DA"/>
    <w:rsid w:val="00327A53"/>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B438E"/>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4035C"/>
    <w:rsid w:val="005431D0"/>
    <w:rsid w:val="00545984"/>
    <w:rsid w:val="00547A0D"/>
    <w:rsid w:val="00555113"/>
    <w:rsid w:val="00566C60"/>
    <w:rsid w:val="0057013D"/>
    <w:rsid w:val="00590E2B"/>
    <w:rsid w:val="00592F48"/>
    <w:rsid w:val="005A5551"/>
    <w:rsid w:val="005C2DF4"/>
    <w:rsid w:val="005D2593"/>
    <w:rsid w:val="005D64F5"/>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57F7"/>
    <w:rsid w:val="007860EA"/>
    <w:rsid w:val="007910E9"/>
    <w:rsid w:val="007D7585"/>
    <w:rsid w:val="007F3707"/>
    <w:rsid w:val="007F3E24"/>
    <w:rsid w:val="007F3FB4"/>
    <w:rsid w:val="00804E06"/>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2567D"/>
    <w:rsid w:val="00D30C94"/>
    <w:rsid w:val="00D32CA0"/>
    <w:rsid w:val="00D3387F"/>
    <w:rsid w:val="00D362A9"/>
    <w:rsid w:val="00D36321"/>
    <w:rsid w:val="00D4528B"/>
    <w:rsid w:val="00D54A32"/>
    <w:rsid w:val="00D85751"/>
    <w:rsid w:val="00D971D5"/>
    <w:rsid w:val="00DB2ECC"/>
    <w:rsid w:val="00DB436C"/>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86CE-D2CF-4138-96BB-D7A6D4C6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2022-11-17T07:04:00Z</cp:lastPrinted>
  <dcterms:created xsi:type="dcterms:W3CDTF">2022-11-28T10:21:00Z</dcterms:created>
  <dcterms:modified xsi:type="dcterms:W3CDTF">2022-11-28T10:21:00Z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749af00727da6cd6a2b64b7e4ab1fad4fcff89368fb0c6ddb57f0d116bf78ebe</vt:lpwstr>
  </property>
</Properties>
</file>