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5" w:rsidRDefault="00945A1E" w:rsidP="00945A1E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402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 4.of 2023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</w:t>
      </w:r>
      <w:r>
        <w:rPr>
          <w:rFonts w:ascii="Arial" w:hAnsi="Arial" w:cs="Arial"/>
          <w:b/>
          <w:sz w:val="20"/>
          <w:szCs w:val="20"/>
          <w:lang w:val="en-ZA"/>
        </w:rPr>
        <w:t>OF PUBLICATION: 24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M. Gen O S Terblanche (DA) to ask the Minister of Police</w:t>
      </w:r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945A1E">
        <w:rPr>
          <w:rFonts w:ascii="Arial" w:hAnsi="Arial" w:cs="Arial"/>
          <w:sz w:val="20"/>
          <w:szCs w:val="20"/>
          <w:lang w:val="en-ZA"/>
        </w:rPr>
        <w:t>What (a) total number of persons has the SA Police Service arrested for theft copper cables since 1 March 2022 and (b) is the total value of the recovered copper cables?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C67F1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sectPr w:rsidR="00D66BA5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5A1E"/>
    <w:rsid w:val="00945A1E"/>
    <w:rsid w:val="00C67F17"/>
    <w:rsid w:val="00D66BA5"/>
    <w:rsid w:val="00E5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02-2023-03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2023-03-20T12:43:00Z</dcterms:created>
  <dcterms:modified xsi:type="dcterms:W3CDTF">2023-03-28T08:17:00Z</dcterms:modified>
</cp:coreProperties>
</file>