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7E" w:rsidRPr="001508AF" w:rsidRDefault="0082007E" w:rsidP="0082007E">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2007E" w:rsidRPr="001508AF" w:rsidRDefault="0082007E" w:rsidP="0082007E">
      <w:pPr>
        <w:spacing w:after="0" w:line="240" w:lineRule="auto"/>
        <w:outlineLvl w:val="0"/>
        <w:rPr>
          <w:rFonts w:ascii="Arial" w:eastAsia="Arial Unicode MS" w:hAnsi="Arial" w:cs="Times New Roman"/>
          <w:color w:val="000000"/>
          <w:sz w:val="24"/>
          <w:szCs w:val="20"/>
          <w:lang w:eastAsia="en-ZA"/>
        </w:rPr>
      </w:pPr>
    </w:p>
    <w:p w:rsidR="0082007E" w:rsidRPr="001508AF" w:rsidRDefault="0082007E" w:rsidP="0082007E">
      <w:pPr>
        <w:spacing w:after="0" w:line="240" w:lineRule="auto"/>
        <w:outlineLvl w:val="0"/>
        <w:rPr>
          <w:rFonts w:ascii="Arial" w:eastAsia="Arial Unicode MS" w:hAnsi="Arial" w:cs="Times New Roman"/>
          <w:color w:val="000000"/>
          <w:sz w:val="24"/>
          <w:szCs w:val="20"/>
          <w:lang w:eastAsia="en-ZA"/>
        </w:rPr>
      </w:pPr>
    </w:p>
    <w:p w:rsidR="0082007E" w:rsidRPr="001508AF" w:rsidRDefault="0082007E" w:rsidP="0082007E">
      <w:pPr>
        <w:spacing w:after="0" w:line="240" w:lineRule="auto"/>
        <w:jc w:val="center"/>
        <w:outlineLvl w:val="0"/>
        <w:rPr>
          <w:rFonts w:ascii="Arial" w:eastAsia="Arial Unicode MS" w:hAnsi="Arial" w:cs="Times New Roman"/>
          <w:b/>
          <w:color w:val="000000"/>
          <w:sz w:val="24"/>
          <w:szCs w:val="20"/>
          <w:lang w:eastAsia="en-ZA"/>
        </w:rPr>
      </w:pPr>
    </w:p>
    <w:p w:rsidR="0082007E" w:rsidRPr="001508AF" w:rsidRDefault="0082007E" w:rsidP="0082007E">
      <w:pPr>
        <w:spacing w:after="0" w:line="240" w:lineRule="auto"/>
        <w:jc w:val="center"/>
        <w:outlineLvl w:val="0"/>
        <w:rPr>
          <w:rFonts w:ascii="Arial" w:eastAsia="Arial Unicode MS" w:hAnsi="Arial" w:cs="Times New Roman"/>
          <w:b/>
          <w:color w:val="000000"/>
          <w:sz w:val="24"/>
          <w:szCs w:val="20"/>
          <w:lang w:eastAsia="en-ZA"/>
        </w:rPr>
      </w:pPr>
    </w:p>
    <w:p w:rsidR="0082007E" w:rsidRPr="001508AF" w:rsidRDefault="0082007E" w:rsidP="0082007E">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2007E" w:rsidRPr="001508AF" w:rsidRDefault="0082007E" w:rsidP="0082007E">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2007E" w:rsidRDefault="0082007E" w:rsidP="0082007E">
      <w:pPr>
        <w:spacing w:after="0" w:line="276" w:lineRule="auto"/>
        <w:outlineLvl w:val="0"/>
        <w:rPr>
          <w:rFonts w:ascii="Arial" w:eastAsia="Arial Unicode MS" w:hAnsi="Arial" w:cs="Arial"/>
          <w:b/>
          <w:color w:val="000000"/>
          <w:sz w:val="24"/>
          <w:szCs w:val="24"/>
          <w:lang w:eastAsia="en-ZA"/>
        </w:rPr>
      </w:pPr>
    </w:p>
    <w:p w:rsidR="0082007E" w:rsidRDefault="0082007E" w:rsidP="0082007E">
      <w:pPr>
        <w:spacing w:after="0" w:line="276" w:lineRule="auto"/>
        <w:outlineLvl w:val="0"/>
        <w:rPr>
          <w:rFonts w:ascii="Arial" w:eastAsia="Arial Unicode MS" w:hAnsi="Arial" w:cs="Arial"/>
          <w:b/>
          <w:sz w:val="24"/>
          <w:szCs w:val="24"/>
          <w:lang w:eastAsia="en-ZA"/>
        </w:rPr>
      </w:pPr>
    </w:p>
    <w:p w:rsidR="0082007E" w:rsidRPr="00720C4F" w:rsidRDefault="0082007E" w:rsidP="0082007E">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82007E" w:rsidRPr="00720C4F" w:rsidRDefault="0082007E" w:rsidP="0082007E">
      <w:pPr>
        <w:spacing w:after="0" w:line="276" w:lineRule="auto"/>
        <w:outlineLvl w:val="0"/>
        <w:rPr>
          <w:rFonts w:ascii="Arial" w:eastAsia="Arial Unicode MS" w:hAnsi="Arial" w:cs="Arial"/>
          <w:b/>
          <w:sz w:val="24"/>
          <w:szCs w:val="24"/>
          <w:lang w:eastAsia="en-ZA"/>
        </w:rPr>
      </w:pPr>
    </w:p>
    <w:p w:rsidR="0082007E" w:rsidRPr="00720C4F" w:rsidRDefault="0082007E" w:rsidP="0082007E">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82007E" w:rsidRPr="00720C4F" w:rsidRDefault="0082007E" w:rsidP="0082007E">
      <w:pPr>
        <w:spacing w:after="0" w:line="276" w:lineRule="auto"/>
        <w:outlineLvl w:val="0"/>
        <w:rPr>
          <w:rFonts w:ascii="Arial" w:eastAsia="Arial Unicode MS" w:hAnsi="Arial" w:cs="Arial"/>
          <w:b/>
          <w:sz w:val="24"/>
          <w:szCs w:val="24"/>
          <w:lang w:eastAsia="en-ZA"/>
        </w:rPr>
      </w:pPr>
    </w:p>
    <w:p w:rsidR="0082007E" w:rsidRPr="00720C4F" w:rsidRDefault="0082007E" w:rsidP="0082007E">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 xml:space="preserve">04 NOVEMBER </w:t>
      </w:r>
      <w:r w:rsidRPr="00720C4F">
        <w:rPr>
          <w:rFonts w:ascii="Arial" w:eastAsia="Arial Unicode MS" w:hAnsi="Arial" w:cs="Arial"/>
          <w:b/>
          <w:sz w:val="24"/>
          <w:szCs w:val="24"/>
          <w:lang w:eastAsia="en-ZA"/>
        </w:rPr>
        <w:t>2022</w:t>
      </w:r>
    </w:p>
    <w:p w:rsidR="0082007E" w:rsidRPr="00720C4F" w:rsidRDefault="0082007E" w:rsidP="0082007E">
      <w:pPr>
        <w:spacing w:after="0" w:line="276" w:lineRule="auto"/>
        <w:outlineLvl w:val="0"/>
        <w:rPr>
          <w:rFonts w:ascii="Arial" w:eastAsia="Arial Unicode MS" w:hAnsi="Arial" w:cs="Arial"/>
          <w:b/>
          <w:sz w:val="24"/>
          <w:szCs w:val="24"/>
          <w:lang w:eastAsia="en-ZA"/>
        </w:rPr>
      </w:pPr>
    </w:p>
    <w:p w:rsidR="0082007E" w:rsidRPr="00720C4F" w:rsidRDefault="0082007E" w:rsidP="0082007E">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4000</w:t>
      </w:r>
      <w:r w:rsidRPr="00720C4F">
        <w:rPr>
          <w:rFonts w:ascii="Arial" w:eastAsia="Arial Unicode MS" w:hAnsi="Arial" w:cs="Arial"/>
          <w:b/>
          <w:sz w:val="24"/>
          <w:szCs w:val="24"/>
          <w:lang w:eastAsia="en-ZA"/>
        </w:rPr>
        <w:tab/>
      </w:r>
    </w:p>
    <w:p w:rsidR="0082007E" w:rsidRPr="00D8319D" w:rsidRDefault="0082007E" w:rsidP="0082007E">
      <w:pPr>
        <w:spacing w:before="100" w:beforeAutospacing="1" w:after="100" w:afterAutospacing="1" w:line="240" w:lineRule="auto"/>
        <w:ind w:left="720" w:right="26" w:hanging="720"/>
        <w:jc w:val="both"/>
        <w:outlineLvl w:val="0"/>
        <w:rPr>
          <w:rFonts w:ascii="Arial" w:hAnsi="Arial" w:cs="Arial"/>
          <w:b/>
          <w:bCs/>
          <w:sz w:val="24"/>
          <w:szCs w:val="24"/>
        </w:rPr>
      </w:pPr>
      <w:r w:rsidRPr="00D8319D">
        <w:rPr>
          <w:rFonts w:ascii="Arial" w:hAnsi="Arial" w:cs="Arial"/>
          <w:b/>
          <w:bCs/>
          <w:sz w:val="24"/>
          <w:szCs w:val="24"/>
        </w:rPr>
        <w:t xml:space="preserve">Dr M </w:t>
      </w:r>
      <w:proofErr w:type="spellStart"/>
      <w:r w:rsidRPr="00D8319D">
        <w:rPr>
          <w:rFonts w:ascii="Arial" w:hAnsi="Arial" w:cs="Arial"/>
          <w:b/>
          <w:bCs/>
          <w:sz w:val="24"/>
          <w:szCs w:val="24"/>
        </w:rPr>
        <w:t>M</w:t>
      </w:r>
      <w:proofErr w:type="spellEnd"/>
      <w:r w:rsidRPr="00D8319D">
        <w:rPr>
          <w:rFonts w:ascii="Arial" w:hAnsi="Arial" w:cs="Arial"/>
          <w:b/>
          <w:bCs/>
          <w:sz w:val="24"/>
          <w:szCs w:val="24"/>
        </w:rPr>
        <w:t xml:space="preserve"> </w:t>
      </w:r>
      <w:proofErr w:type="spellStart"/>
      <w:r w:rsidRPr="00D8319D">
        <w:rPr>
          <w:rFonts w:ascii="Arial" w:hAnsi="Arial" w:cs="Arial"/>
          <w:b/>
          <w:bCs/>
          <w:sz w:val="24"/>
          <w:szCs w:val="24"/>
        </w:rPr>
        <w:t>Gondwe</w:t>
      </w:r>
      <w:proofErr w:type="spellEnd"/>
      <w:r w:rsidRPr="00D8319D">
        <w:rPr>
          <w:rFonts w:ascii="Arial" w:hAnsi="Arial" w:cs="Arial"/>
          <w:b/>
          <w:bCs/>
          <w:sz w:val="24"/>
          <w:szCs w:val="24"/>
        </w:rPr>
        <w:t xml:space="preserve"> (DA) to ask the Minister of Public Service and Administration</w:t>
      </w:r>
      <w:r w:rsidR="00531FA4" w:rsidRPr="00D8319D">
        <w:rPr>
          <w:rFonts w:ascii="Arial" w:hAnsi="Arial" w:cs="Arial"/>
          <w:b/>
          <w:bCs/>
          <w:sz w:val="24"/>
          <w:szCs w:val="24"/>
        </w:rPr>
        <w:fldChar w:fldCharType="begin"/>
      </w:r>
      <w:r w:rsidRPr="00D8319D">
        <w:rPr>
          <w:rFonts w:ascii="Arial" w:hAnsi="Arial" w:cs="Arial"/>
          <w:sz w:val="24"/>
          <w:szCs w:val="24"/>
        </w:rPr>
        <w:instrText xml:space="preserve"> XE "</w:instrText>
      </w:r>
      <w:r w:rsidRPr="00D8319D">
        <w:rPr>
          <w:rFonts w:ascii="Arial" w:hAnsi="Arial" w:cs="Arial"/>
          <w:b/>
          <w:bCs/>
          <w:sz w:val="24"/>
          <w:szCs w:val="24"/>
        </w:rPr>
        <w:instrText>Minister of Public Service and Administration</w:instrText>
      </w:r>
      <w:r w:rsidRPr="00D8319D">
        <w:rPr>
          <w:rFonts w:ascii="Arial" w:hAnsi="Arial" w:cs="Arial"/>
          <w:sz w:val="24"/>
          <w:szCs w:val="24"/>
        </w:rPr>
        <w:instrText xml:space="preserve">" </w:instrText>
      </w:r>
      <w:r w:rsidR="00531FA4" w:rsidRPr="00D8319D">
        <w:rPr>
          <w:rFonts w:ascii="Arial" w:hAnsi="Arial" w:cs="Arial"/>
          <w:b/>
          <w:bCs/>
          <w:sz w:val="24"/>
          <w:szCs w:val="24"/>
        </w:rPr>
        <w:fldChar w:fldCharType="end"/>
      </w:r>
      <w:r w:rsidRPr="00D8319D">
        <w:rPr>
          <w:rFonts w:ascii="Arial" w:hAnsi="Arial" w:cs="Arial"/>
          <w:b/>
          <w:bCs/>
          <w:sz w:val="24"/>
          <w:szCs w:val="24"/>
        </w:rPr>
        <w:t>:</w:t>
      </w:r>
    </w:p>
    <w:p w:rsidR="0082007E" w:rsidRPr="008C5566" w:rsidRDefault="0082007E" w:rsidP="0082007E">
      <w:pPr>
        <w:spacing w:before="100" w:beforeAutospacing="1" w:after="100" w:afterAutospacing="1" w:line="240" w:lineRule="auto"/>
        <w:ind w:left="1440" w:right="180" w:hanging="720"/>
        <w:jc w:val="both"/>
        <w:outlineLvl w:val="0"/>
        <w:rPr>
          <w:rFonts w:ascii="Arial" w:hAnsi="Arial" w:cs="Arial"/>
          <w:sz w:val="24"/>
          <w:szCs w:val="24"/>
        </w:rPr>
      </w:pPr>
      <w:r w:rsidRPr="00262162">
        <w:rPr>
          <w:rFonts w:ascii="Times New Roman" w:hAnsi="Times New Roman" w:cs="Times New Roman"/>
          <w:sz w:val="24"/>
          <w:szCs w:val="24"/>
        </w:rPr>
        <w:t xml:space="preserve"> (1)</w:t>
      </w:r>
      <w:r w:rsidRPr="00262162">
        <w:rPr>
          <w:rFonts w:ascii="Times New Roman" w:hAnsi="Times New Roman" w:cs="Times New Roman"/>
          <w:sz w:val="24"/>
          <w:szCs w:val="24"/>
        </w:rPr>
        <w:tab/>
      </w:r>
      <w:r w:rsidRPr="008C5566">
        <w:rPr>
          <w:rFonts w:ascii="Arial" w:hAnsi="Arial" w:cs="Arial"/>
          <w:sz w:val="24"/>
          <w:szCs w:val="24"/>
        </w:rPr>
        <w:t>Whether his department has been monitoring the implementation of Regulation 13(c) of the Public Service Regulations and Regulation 8 of the Public Administration Management Act, Act 11 of 2014; if not, why not; if so, what has been the outcome of the specified monitoring;</w:t>
      </w:r>
    </w:p>
    <w:p w:rsidR="0082007E" w:rsidRPr="008C5566" w:rsidRDefault="0082007E" w:rsidP="0082007E">
      <w:pPr>
        <w:spacing w:before="100" w:beforeAutospacing="1" w:after="100" w:afterAutospacing="1" w:line="240" w:lineRule="auto"/>
        <w:ind w:left="1440" w:right="180" w:hanging="720"/>
        <w:jc w:val="both"/>
        <w:outlineLvl w:val="0"/>
        <w:rPr>
          <w:rFonts w:ascii="Arial" w:hAnsi="Arial" w:cs="Arial"/>
          <w:sz w:val="24"/>
          <w:szCs w:val="24"/>
        </w:rPr>
      </w:pPr>
      <w:r w:rsidRPr="008C5566">
        <w:rPr>
          <w:rFonts w:ascii="Arial" w:hAnsi="Arial" w:cs="Arial"/>
          <w:sz w:val="24"/>
          <w:szCs w:val="24"/>
        </w:rPr>
        <w:t>(2)</w:t>
      </w:r>
      <w:r w:rsidRPr="008C5566">
        <w:rPr>
          <w:rFonts w:ascii="Arial" w:hAnsi="Arial" w:cs="Arial"/>
          <w:sz w:val="24"/>
          <w:szCs w:val="24"/>
        </w:rPr>
        <w:tab/>
        <w:t>what (a)(</w:t>
      </w:r>
      <w:proofErr w:type="spellStart"/>
      <w:r w:rsidRPr="008C5566">
        <w:rPr>
          <w:rFonts w:ascii="Arial" w:hAnsi="Arial" w:cs="Arial"/>
          <w:sz w:val="24"/>
          <w:szCs w:val="24"/>
        </w:rPr>
        <w:t>i</w:t>
      </w:r>
      <w:proofErr w:type="spellEnd"/>
      <w:r w:rsidRPr="008C5566">
        <w:rPr>
          <w:rFonts w:ascii="Arial" w:hAnsi="Arial" w:cs="Arial"/>
          <w:sz w:val="24"/>
          <w:szCs w:val="24"/>
        </w:rPr>
        <w:t>) total number of public servants were found to be conducting business with the State as at 1 October 2022 and (ii) is the breakdown of the specified number for each national and provincial department and (b) is the salary level and position of each of the employees;</w:t>
      </w:r>
    </w:p>
    <w:p w:rsidR="0082007E" w:rsidRPr="008C5566" w:rsidRDefault="0082007E" w:rsidP="0082007E">
      <w:pPr>
        <w:spacing w:before="100" w:beforeAutospacing="1" w:after="100" w:afterAutospacing="1" w:line="240" w:lineRule="auto"/>
        <w:ind w:left="1440" w:right="180" w:hanging="720"/>
        <w:jc w:val="both"/>
        <w:outlineLvl w:val="0"/>
        <w:rPr>
          <w:rFonts w:ascii="Arial" w:hAnsi="Arial" w:cs="Arial"/>
          <w:sz w:val="24"/>
          <w:szCs w:val="24"/>
        </w:rPr>
      </w:pPr>
      <w:r w:rsidRPr="008C5566">
        <w:rPr>
          <w:rFonts w:ascii="Arial" w:hAnsi="Arial" w:cs="Arial"/>
          <w:sz w:val="24"/>
          <w:szCs w:val="24"/>
        </w:rPr>
        <w:t>(3)</w:t>
      </w:r>
      <w:r w:rsidRPr="008C5566">
        <w:rPr>
          <w:rFonts w:ascii="Arial" w:hAnsi="Arial" w:cs="Arial"/>
          <w:sz w:val="24"/>
          <w:szCs w:val="24"/>
        </w:rPr>
        <w:tab/>
      </w:r>
      <w:proofErr w:type="gramStart"/>
      <w:r w:rsidRPr="008C5566">
        <w:rPr>
          <w:rFonts w:ascii="Arial" w:hAnsi="Arial" w:cs="Arial"/>
          <w:sz w:val="24"/>
          <w:szCs w:val="24"/>
        </w:rPr>
        <w:t>what</w:t>
      </w:r>
      <w:proofErr w:type="gramEnd"/>
      <w:r w:rsidRPr="008C5566">
        <w:rPr>
          <w:rFonts w:ascii="Arial" w:hAnsi="Arial" w:cs="Arial"/>
          <w:sz w:val="24"/>
          <w:szCs w:val="24"/>
        </w:rPr>
        <w:t xml:space="preserve"> (a) number of public servants have been subjected to disciplinary action for conducting business with the State to date and (b) has been the outcome of the disciplinary action taken in each case with regard to each of the national and provincial departments;</w:t>
      </w:r>
    </w:p>
    <w:p w:rsidR="0082007E" w:rsidRPr="008C5566" w:rsidRDefault="0082007E" w:rsidP="0082007E">
      <w:pPr>
        <w:spacing w:before="100" w:beforeAutospacing="1" w:after="100" w:afterAutospacing="1" w:line="240" w:lineRule="auto"/>
        <w:ind w:left="1440" w:right="180" w:hanging="720"/>
        <w:jc w:val="both"/>
        <w:outlineLvl w:val="0"/>
        <w:rPr>
          <w:rFonts w:ascii="Arial" w:hAnsi="Arial" w:cs="Arial"/>
          <w:sz w:val="24"/>
          <w:szCs w:val="24"/>
        </w:rPr>
      </w:pPr>
      <w:r w:rsidRPr="008C5566">
        <w:rPr>
          <w:rFonts w:ascii="Arial" w:hAnsi="Arial" w:cs="Arial"/>
          <w:sz w:val="24"/>
          <w:szCs w:val="24"/>
        </w:rPr>
        <w:t>(4)</w:t>
      </w:r>
      <w:r w:rsidRPr="008C5566">
        <w:rPr>
          <w:rFonts w:ascii="Arial" w:hAnsi="Arial" w:cs="Arial"/>
          <w:sz w:val="24"/>
          <w:szCs w:val="24"/>
        </w:rPr>
        <w:tab/>
        <w:t>what (a) number of public servants are currently being investigated by the SA Police Service for conducting business with the State and (b) is the status of the investigations;</w:t>
      </w:r>
    </w:p>
    <w:p w:rsidR="0082007E" w:rsidRDefault="0082007E" w:rsidP="0082007E">
      <w:pPr>
        <w:spacing w:before="100" w:beforeAutospacing="1" w:after="100" w:afterAutospacing="1" w:line="240" w:lineRule="auto"/>
        <w:ind w:left="1440" w:right="180" w:hanging="720"/>
        <w:jc w:val="both"/>
        <w:outlineLvl w:val="0"/>
        <w:rPr>
          <w:rFonts w:ascii="Arial" w:hAnsi="Arial" w:cs="Arial"/>
          <w:b/>
          <w:sz w:val="24"/>
          <w:szCs w:val="24"/>
        </w:rPr>
      </w:pPr>
      <w:r w:rsidRPr="008C5566">
        <w:rPr>
          <w:rFonts w:ascii="Arial" w:hAnsi="Arial" w:cs="Arial"/>
          <w:sz w:val="24"/>
          <w:szCs w:val="24"/>
        </w:rPr>
        <w:t>(5)</w:t>
      </w:r>
      <w:r w:rsidRPr="008C5566">
        <w:rPr>
          <w:rFonts w:ascii="Arial" w:hAnsi="Arial" w:cs="Arial"/>
          <w:sz w:val="24"/>
          <w:szCs w:val="24"/>
        </w:rPr>
        <w:tab/>
      </w:r>
      <w:proofErr w:type="gramStart"/>
      <w:r w:rsidRPr="008C5566">
        <w:rPr>
          <w:rFonts w:ascii="Arial" w:hAnsi="Arial" w:cs="Arial"/>
          <w:sz w:val="24"/>
          <w:szCs w:val="24"/>
        </w:rPr>
        <w:t>what</w:t>
      </w:r>
      <w:proofErr w:type="gramEnd"/>
      <w:r w:rsidRPr="008C5566">
        <w:rPr>
          <w:rFonts w:ascii="Arial" w:hAnsi="Arial" w:cs="Arial"/>
          <w:sz w:val="24"/>
          <w:szCs w:val="24"/>
        </w:rPr>
        <w:t xml:space="preserve"> number of public servants have been convicted for conducting business with the State as at the latest specified date for which in</w:t>
      </w:r>
      <w:r>
        <w:rPr>
          <w:rFonts w:ascii="Arial" w:hAnsi="Arial" w:cs="Arial"/>
          <w:sz w:val="24"/>
          <w:szCs w:val="24"/>
        </w:rPr>
        <w:t>formation is available?</w:t>
      </w:r>
      <w:r>
        <w:rPr>
          <w:rFonts w:ascii="Arial" w:hAnsi="Arial" w:cs="Arial"/>
          <w:sz w:val="24"/>
          <w:szCs w:val="24"/>
        </w:rPr>
        <w:tab/>
      </w:r>
      <w:r w:rsidRPr="008C5566">
        <w:rPr>
          <w:rFonts w:ascii="Arial" w:hAnsi="Arial" w:cs="Arial"/>
          <w:b/>
          <w:sz w:val="24"/>
          <w:szCs w:val="24"/>
        </w:rPr>
        <w:t>NW4900E</w:t>
      </w:r>
    </w:p>
    <w:p w:rsidR="0082007E" w:rsidRDefault="0082007E" w:rsidP="0082007E">
      <w:pPr>
        <w:spacing w:before="100" w:beforeAutospacing="1" w:after="100" w:afterAutospacing="1" w:line="240" w:lineRule="auto"/>
        <w:ind w:left="1440" w:right="180" w:hanging="720"/>
        <w:jc w:val="both"/>
        <w:outlineLvl w:val="0"/>
        <w:rPr>
          <w:rFonts w:ascii="Arial" w:hAnsi="Arial" w:cs="Arial"/>
          <w:b/>
          <w:sz w:val="24"/>
          <w:szCs w:val="24"/>
        </w:rPr>
      </w:pPr>
    </w:p>
    <w:p w:rsidR="0082007E" w:rsidRDefault="0082007E" w:rsidP="0082007E">
      <w:pPr>
        <w:spacing w:before="100" w:beforeAutospacing="1" w:after="100" w:afterAutospacing="1" w:line="240" w:lineRule="auto"/>
        <w:ind w:left="1440" w:right="180" w:hanging="720"/>
        <w:jc w:val="both"/>
        <w:outlineLvl w:val="0"/>
        <w:rPr>
          <w:rFonts w:ascii="Arial" w:hAnsi="Arial" w:cs="Arial"/>
          <w:b/>
          <w:sz w:val="24"/>
          <w:szCs w:val="24"/>
        </w:rPr>
      </w:pPr>
    </w:p>
    <w:p w:rsidR="0082007E" w:rsidRDefault="0082007E" w:rsidP="0082007E">
      <w:pPr>
        <w:spacing w:before="100" w:beforeAutospacing="1" w:after="100" w:afterAutospacing="1" w:line="240" w:lineRule="auto"/>
        <w:ind w:left="1440" w:right="180" w:hanging="720"/>
        <w:jc w:val="both"/>
        <w:outlineLvl w:val="0"/>
        <w:rPr>
          <w:rFonts w:ascii="Arial" w:hAnsi="Arial" w:cs="Arial"/>
          <w:b/>
          <w:sz w:val="24"/>
          <w:szCs w:val="24"/>
        </w:rPr>
      </w:pPr>
    </w:p>
    <w:p w:rsidR="0082007E" w:rsidRPr="008C5566" w:rsidRDefault="0082007E" w:rsidP="0082007E">
      <w:pPr>
        <w:spacing w:before="100" w:beforeAutospacing="1" w:after="100" w:afterAutospacing="1" w:line="240" w:lineRule="auto"/>
        <w:ind w:left="1440" w:right="180" w:hanging="720"/>
        <w:jc w:val="both"/>
        <w:outlineLvl w:val="0"/>
        <w:rPr>
          <w:rFonts w:ascii="Arial" w:hAnsi="Arial" w:cs="Arial"/>
          <w:b/>
          <w:sz w:val="24"/>
          <w:szCs w:val="24"/>
        </w:rPr>
      </w:pPr>
    </w:p>
    <w:p w:rsidR="0082007E" w:rsidRDefault="0082007E" w:rsidP="0082007E">
      <w:pPr>
        <w:tabs>
          <w:tab w:val="left" w:pos="1134"/>
        </w:tabs>
        <w:rPr>
          <w:rFonts w:ascii="Arial" w:eastAsia="Calibri" w:hAnsi="Arial" w:cs="Arial"/>
          <w:b/>
          <w:sz w:val="24"/>
          <w:szCs w:val="24"/>
        </w:rPr>
      </w:pPr>
      <w:r w:rsidRPr="008F1C7C">
        <w:rPr>
          <w:rFonts w:ascii="Arial" w:eastAsia="Calibri" w:hAnsi="Arial" w:cs="Arial"/>
          <w:b/>
          <w:sz w:val="24"/>
          <w:szCs w:val="24"/>
        </w:rPr>
        <w:t xml:space="preserve">REPLY: </w:t>
      </w:r>
    </w:p>
    <w:p w:rsidR="0082007E" w:rsidRPr="00793236" w:rsidRDefault="0082007E" w:rsidP="0082007E">
      <w:pPr>
        <w:pStyle w:val="ListParagraph"/>
        <w:numPr>
          <w:ilvl w:val="0"/>
          <w:numId w:val="2"/>
        </w:numPr>
        <w:spacing w:after="0" w:line="240" w:lineRule="auto"/>
        <w:jc w:val="both"/>
        <w:rPr>
          <w:rFonts w:ascii="Arial" w:eastAsia="Arial" w:hAnsi="Arial" w:cs="Arial"/>
          <w:sz w:val="24"/>
          <w:szCs w:val="24"/>
        </w:rPr>
      </w:pPr>
      <w:r w:rsidRPr="004F7207">
        <w:rPr>
          <w:rFonts w:ascii="Arial" w:eastAsia="Arial" w:hAnsi="Arial" w:cs="Arial"/>
          <w:sz w:val="24"/>
          <w:szCs w:val="24"/>
        </w:rPr>
        <w:t>T</w:t>
      </w:r>
      <w:r>
        <w:rPr>
          <w:rFonts w:ascii="Arial" w:eastAsia="Arial" w:hAnsi="Arial" w:cs="Arial"/>
          <w:sz w:val="24"/>
          <w:szCs w:val="24"/>
        </w:rPr>
        <w:t xml:space="preserve">he Department of Public Service and Administration (DPSA) has been monitoring the implementation of Regulation 13(c) of the </w:t>
      </w:r>
      <w:r w:rsidRPr="008C5566">
        <w:rPr>
          <w:rFonts w:ascii="Arial" w:hAnsi="Arial" w:cs="Arial"/>
          <w:sz w:val="24"/>
          <w:szCs w:val="24"/>
        </w:rPr>
        <w:t>Public Service Regulations and Regulation 8 of the Public Administration Management Act, Act 11 of 2014</w:t>
      </w:r>
      <w:r>
        <w:rPr>
          <w:rFonts w:ascii="Arial" w:hAnsi="Arial" w:cs="Arial"/>
          <w:sz w:val="24"/>
          <w:szCs w:val="24"/>
        </w:rPr>
        <w:t xml:space="preserve"> since 2019. Since then, the DPSA is monitoring public service employees who are allegedly conducting business with the State, through the Central Supplier Database (CSD),</w:t>
      </w:r>
      <w:r w:rsidRPr="009E20BB">
        <w:rPr>
          <w:rFonts w:ascii="Arial" w:hAnsi="Arial" w:cs="Arial"/>
          <w:sz w:val="24"/>
          <w:szCs w:val="24"/>
        </w:rPr>
        <w:t xml:space="preserve"> </w:t>
      </w:r>
      <w:r>
        <w:rPr>
          <w:rFonts w:ascii="Arial" w:hAnsi="Arial" w:cs="Arial"/>
          <w:sz w:val="24"/>
          <w:szCs w:val="24"/>
        </w:rPr>
        <w:t>on a monthly basis. The following were the outcomes of the monitoring process</w:t>
      </w:r>
      <w:r>
        <w:rPr>
          <w:rStyle w:val="FootnoteReference"/>
          <w:rFonts w:ascii="Arial" w:hAnsi="Arial" w:cs="Arial"/>
          <w:sz w:val="24"/>
          <w:szCs w:val="24"/>
        </w:rPr>
        <w:footnoteReference w:id="1"/>
      </w:r>
      <w:r>
        <w:rPr>
          <w:rFonts w:ascii="Arial" w:hAnsi="Arial" w:cs="Arial"/>
          <w:sz w:val="24"/>
          <w:szCs w:val="24"/>
        </w:rPr>
        <w:t>:</w:t>
      </w:r>
    </w:p>
    <w:p w:rsidR="0082007E" w:rsidRDefault="0082007E" w:rsidP="0082007E">
      <w:pPr>
        <w:pStyle w:val="ListParagraph"/>
        <w:numPr>
          <w:ilvl w:val="1"/>
          <w:numId w:val="12"/>
        </w:numPr>
        <w:spacing w:after="0" w:line="240" w:lineRule="auto"/>
        <w:jc w:val="both"/>
        <w:rPr>
          <w:rFonts w:ascii="Arial" w:eastAsia="Arial" w:hAnsi="Arial" w:cs="Arial"/>
          <w:sz w:val="24"/>
          <w:szCs w:val="24"/>
        </w:rPr>
      </w:pPr>
      <w:r>
        <w:rPr>
          <w:rFonts w:ascii="Arial" w:eastAsia="Arial" w:hAnsi="Arial" w:cs="Arial"/>
          <w:sz w:val="24"/>
          <w:szCs w:val="24"/>
        </w:rPr>
        <w:t xml:space="preserve">As at the end of March 2019, </w:t>
      </w:r>
      <w:r w:rsidRPr="008F0E29">
        <w:rPr>
          <w:rFonts w:ascii="Arial" w:eastAsia="Arial" w:hAnsi="Arial" w:cs="Arial"/>
          <w:b/>
          <w:sz w:val="24"/>
          <w:szCs w:val="24"/>
        </w:rPr>
        <w:t xml:space="preserve">1068 </w:t>
      </w:r>
      <w:r>
        <w:rPr>
          <w:rFonts w:ascii="Arial" w:eastAsia="Arial" w:hAnsi="Arial" w:cs="Arial"/>
          <w:sz w:val="24"/>
          <w:szCs w:val="24"/>
        </w:rPr>
        <w:t xml:space="preserve">public service employees were flagged on the CSD to be allegedly conducting business with the State. Out of the 1068, </w:t>
      </w:r>
      <w:r w:rsidRPr="008F0E29">
        <w:rPr>
          <w:rFonts w:ascii="Arial" w:eastAsia="Arial" w:hAnsi="Arial" w:cs="Arial"/>
          <w:b/>
          <w:sz w:val="24"/>
          <w:szCs w:val="24"/>
        </w:rPr>
        <w:t xml:space="preserve">270 </w:t>
      </w:r>
      <w:r>
        <w:rPr>
          <w:rFonts w:ascii="Arial" w:eastAsia="Arial" w:hAnsi="Arial" w:cs="Arial"/>
          <w:sz w:val="24"/>
          <w:szCs w:val="24"/>
        </w:rPr>
        <w:t xml:space="preserve">employees were from the national departments while </w:t>
      </w:r>
      <w:r w:rsidRPr="008F0E29">
        <w:rPr>
          <w:rFonts w:ascii="Arial" w:eastAsia="Arial" w:hAnsi="Arial" w:cs="Arial"/>
          <w:b/>
          <w:sz w:val="24"/>
          <w:szCs w:val="24"/>
        </w:rPr>
        <w:t xml:space="preserve">798 </w:t>
      </w:r>
      <w:r>
        <w:rPr>
          <w:rFonts w:ascii="Arial" w:eastAsia="Arial" w:hAnsi="Arial" w:cs="Arial"/>
          <w:sz w:val="24"/>
          <w:szCs w:val="24"/>
        </w:rPr>
        <w:t xml:space="preserve">were from provincial departments. </w:t>
      </w:r>
    </w:p>
    <w:p w:rsidR="0082007E" w:rsidRDefault="0082007E" w:rsidP="0082007E">
      <w:pPr>
        <w:pStyle w:val="ListParagraph"/>
        <w:numPr>
          <w:ilvl w:val="1"/>
          <w:numId w:val="12"/>
        </w:numPr>
        <w:spacing w:after="0" w:line="240" w:lineRule="auto"/>
        <w:jc w:val="both"/>
        <w:rPr>
          <w:rFonts w:ascii="Arial" w:eastAsia="Arial" w:hAnsi="Arial" w:cs="Arial"/>
          <w:sz w:val="24"/>
          <w:szCs w:val="24"/>
        </w:rPr>
      </w:pPr>
      <w:r>
        <w:rPr>
          <w:rFonts w:ascii="Arial" w:eastAsia="Arial" w:hAnsi="Arial" w:cs="Arial"/>
          <w:sz w:val="24"/>
          <w:szCs w:val="24"/>
        </w:rPr>
        <w:t xml:space="preserve">As at the end of April 2020, </w:t>
      </w:r>
      <w:r w:rsidRPr="008F0E29">
        <w:rPr>
          <w:rFonts w:ascii="Arial" w:eastAsia="Arial" w:hAnsi="Arial" w:cs="Arial"/>
          <w:b/>
          <w:sz w:val="24"/>
          <w:szCs w:val="24"/>
        </w:rPr>
        <w:t>1539</w:t>
      </w:r>
      <w:r>
        <w:rPr>
          <w:rFonts w:ascii="Arial" w:eastAsia="Arial" w:hAnsi="Arial" w:cs="Arial"/>
          <w:sz w:val="24"/>
          <w:szCs w:val="24"/>
        </w:rPr>
        <w:t xml:space="preserve"> public service employees were flagged on the CSD to be allegedly conducting business with the State. Out of 1539, </w:t>
      </w:r>
      <w:r w:rsidRPr="008F0E29">
        <w:rPr>
          <w:rFonts w:ascii="Arial" w:eastAsia="Arial" w:hAnsi="Arial" w:cs="Arial"/>
          <w:b/>
          <w:sz w:val="24"/>
          <w:szCs w:val="24"/>
        </w:rPr>
        <w:t>428</w:t>
      </w:r>
      <w:r>
        <w:rPr>
          <w:rFonts w:ascii="Arial" w:eastAsia="Arial" w:hAnsi="Arial" w:cs="Arial"/>
          <w:sz w:val="24"/>
          <w:szCs w:val="24"/>
        </w:rPr>
        <w:t xml:space="preserve"> were from national departments, whilst </w:t>
      </w:r>
      <w:r w:rsidRPr="008F0E29">
        <w:rPr>
          <w:rFonts w:ascii="Arial" w:eastAsia="Arial" w:hAnsi="Arial" w:cs="Arial"/>
          <w:b/>
          <w:sz w:val="24"/>
          <w:szCs w:val="24"/>
        </w:rPr>
        <w:t>1111</w:t>
      </w:r>
      <w:r>
        <w:rPr>
          <w:rFonts w:ascii="Arial" w:eastAsia="Arial" w:hAnsi="Arial" w:cs="Arial"/>
          <w:sz w:val="24"/>
          <w:szCs w:val="24"/>
        </w:rPr>
        <w:t xml:space="preserve"> emanated from provincial departments. </w:t>
      </w:r>
    </w:p>
    <w:p w:rsidR="0082007E" w:rsidRDefault="0082007E" w:rsidP="0082007E">
      <w:pPr>
        <w:pStyle w:val="ListParagraph"/>
        <w:numPr>
          <w:ilvl w:val="1"/>
          <w:numId w:val="12"/>
        </w:numPr>
        <w:spacing w:after="0" w:line="240" w:lineRule="auto"/>
        <w:jc w:val="both"/>
        <w:rPr>
          <w:rFonts w:ascii="Arial" w:eastAsia="Arial" w:hAnsi="Arial" w:cs="Arial"/>
          <w:sz w:val="24"/>
          <w:szCs w:val="24"/>
        </w:rPr>
      </w:pPr>
      <w:r>
        <w:rPr>
          <w:rFonts w:ascii="Arial" w:eastAsia="Arial" w:hAnsi="Arial" w:cs="Arial"/>
          <w:sz w:val="24"/>
          <w:szCs w:val="24"/>
        </w:rPr>
        <w:t xml:space="preserve">As at end of January 2021, </w:t>
      </w:r>
      <w:r w:rsidRPr="008F0E29">
        <w:rPr>
          <w:rFonts w:ascii="Arial" w:eastAsia="Arial" w:hAnsi="Arial" w:cs="Arial"/>
          <w:b/>
          <w:sz w:val="24"/>
          <w:szCs w:val="24"/>
        </w:rPr>
        <w:t>484</w:t>
      </w:r>
      <w:r>
        <w:rPr>
          <w:rFonts w:ascii="Arial" w:eastAsia="Arial" w:hAnsi="Arial" w:cs="Arial"/>
          <w:sz w:val="24"/>
          <w:szCs w:val="24"/>
        </w:rPr>
        <w:t xml:space="preserve"> employees were flagged on the CSD to be allegedly conducting business with the State. Out of this number, </w:t>
      </w:r>
      <w:r w:rsidRPr="008F0E29">
        <w:rPr>
          <w:rFonts w:ascii="Arial" w:eastAsia="Arial" w:hAnsi="Arial" w:cs="Arial"/>
          <w:b/>
          <w:sz w:val="24"/>
          <w:szCs w:val="24"/>
        </w:rPr>
        <w:t xml:space="preserve">126 </w:t>
      </w:r>
      <w:r>
        <w:rPr>
          <w:rFonts w:ascii="Arial" w:eastAsia="Arial" w:hAnsi="Arial" w:cs="Arial"/>
          <w:sz w:val="24"/>
          <w:szCs w:val="24"/>
        </w:rPr>
        <w:t xml:space="preserve">were from national departments, </w:t>
      </w:r>
      <w:proofErr w:type="spellStart"/>
      <w:r>
        <w:rPr>
          <w:rFonts w:ascii="Arial" w:eastAsia="Arial" w:hAnsi="Arial" w:cs="Arial"/>
          <w:sz w:val="24"/>
          <w:szCs w:val="24"/>
        </w:rPr>
        <w:t>whilest</w:t>
      </w:r>
      <w:proofErr w:type="spellEnd"/>
      <w:r>
        <w:rPr>
          <w:rFonts w:ascii="Arial" w:eastAsia="Arial" w:hAnsi="Arial" w:cs="Arial"/>
          <w:sz w:val="24"/>
          <w:szCs w:val="24"/>
        </w:rPr>
        <w:t xml:space="preserve"> </w:t>
      </w:r>
      <w:r w:rsidRPr="008F0E29">
        <w:rPr>
          <w:rFonts w:ascii="Arial" w:eastAsia="Arial" w:hAnsi="Arial" w:cs="Arial"/>
          <w:b/>
          <w:sz w:val="24"/>
          <w:szCs w:val="24"/>
        </w:rPr>
        <w:t xml:space="preserve">358 </w:t>
      </w:r>
      <w:r>
        <w:rPr>
          <w:rFonts w:ascii="Arial" w:eastAsia="Arial" w:hAnsi="Arial" w:cs="Arial"/>
          <w:sz w:val="24"/>
          <w:szCs w:val="24"/>
        </w:rPr>
        <w:t xml:space="preserve">came from the provincial departments. </w:t>
      </w:r>
    </w:p>
    <w:p w:rsidR="0082007E" w:rsidRDefault="0082007E" w:rsidP="0082007E">
      <w:pPr>
        <w:pStyle w:val="ListParagraph"/>
        <w:numPr>
          <w:ilvl w:val="1"/>
          <w:numId w:val="12"/>
        </w:numPr>
        <w:spacing w:after="0" w:line="240" w:lineRule="auto"/>
        <w:jc w:val="both"/>
        <w:rPr>
          <w:rFonts w:ascii="Arial" w:eastAsia="Arial" w:hAnsi="Arial" w:cs="Arial"/>
          <w:sz w:val="24"/>
          <w:szCs w:val="24"/>
        </w:rPr>
      </w:pPr>
      <w:r>
        <w:rPr>
          <w:rFonts w:ascii="Arial" w:eastAsia="Arial" w:hAnsi="Arial" w:cs="Arial"/>
          <w:sz w:val="24"/>
          <w:szCs w:val="24"/>
        </w:rPr>
        <w:t xml:space="preserve">As at the end of January 2022, </w:t>
      </w:r>
      <w:r w:rsidRPr="008F0E29">
        <w:rPr>
          <w:rFonts w:ascii="Arial" w:eastAsia="Arial" w:hAnsi="Arial" w:cs="Arial"/>
          <w:b/>
          <w:sz w:val="24"/>
          <w:szCs w:val="24"/>
        </w:rPr>
        <w:t>181</w:t>
      </w:r>
      <w:r>
        <w:rPr>
          <w:rFonts w:ascii="Arial" w:eastAsia="Arial" w:hAnsi="Arial" w:cs="Arial"/>
          <w:sz w:val="24"/>
          <w:szCs w:val="24"/>
        </w:rPr>
        <w:t xml:space="preserve"> employee were flagged on the CSD to be allegedly conducting business with the State. A total of </w:t>
      </w:r>
      <w:r w:rsidRPr="008F0E29">
        <w:rPr>
          <w:rFonts w:ascii="Arial" w:eastAsia="Arial" w:hAnsi="Arial" w:cs="Arial"/>
          <w:b/>
          <w:sz w:val="24"/>
          <w:szCs w:val="24"/>
        </w:rPr>
        <w:t>44</w:t>
      </w:r>
      <w:r>
        <w:rPr>
          <w:rFonts w:ascii="Arial" w:eastAsia="Arial" w:hAnsi="Arial" w:cs="Arial"/>
          <w:sz w:val="24"/>
          <w:szCs w:val="24"/>
        </w:rPr>
        <w:t xml:space="preserve"> employees were from national departments, whilst </w:t>
      </w:r>
      <w:r w:rsidRPr="008F0E29">
        <w:rPr>
          <w:rFonts w:ascii="Arial" w:eastAsia="Arial" w:hAnsi="Arial" w:cs="Arial"/>
          <w:b/>
          <w:sz w:val="24"/>
          <w:szCs w:val="24"/>
        </w:rPr>
        <w:t>137</w:t>
      </w:r>
      <w:r>
        <w:rPr>
          <w:rFonts w:ascii="Arial" w:eastAsia="Arial" w:hAnsi="Arial" w:cs="Arial"/>
          <w:sz w:val="24"/>
          <w:szCs w:val="24"/>
        </w:rPr>
        <w:t xml:space="preserve"> were from provincial departments.   </w:t>
      </w:r>
    </w:p>
    <w:p w:rsidR="0082007E" w:rsidRDefault="0082007E" w:rsidP="0082007E">
      <w:pPr>
        <w:pStyle w:val="ListParagraph"/>
        <w:numPr>
          <w:ilvl w:val="0"/>
          <w:numId w:val="2"/>
        </w:numPr>
        <w:spacing w:after="0" w:line="240" w:lineRule="auto"/>
        <w:jc w:val="both"/>
        <w:rPr>
          <w:rFonts w:ascii="Arial" w:eastAsia="Arial" w:hAnsi="Arial" w:cs="Arial"/>
          <w:sz w:val="24"/>
          <w:szCs w:val="24"/>
        </w:rPr>
      </w:pPr>
      <w:proofErr w:type="gramStart"/>
      <w:r>
        <w:rPr>
          <w:rFonts w:ascii="Arial" w:hAnsi="Arial" w:cs="Arial"/>
          <w:sz w:val="24"/>
          <w:szCs w:val="24"/>
        </w:rPr>
        <w:t>a.(</w:t>
      </w:r>
      <w:proofErr w:type="spellStart"/>
      <w:proofErr w:type="gramEnd"/>
      <w:r>
        <w:rPr>
          <w:rFonts w:ascii="Arial" w:hAnsi="Arial" w:cs="Arial"/>
          <w:sz w:val="24"/>
          <w:szCs w:val="24"/>
        </w:rPr>
        <w:t>i</w:t>
      </w:r>
      <w:proofErr w:type="spellEnd"/>
      <w:r>
        <w:rPr>
          <w:rFonts w:ascii="Arial" w:hAnsi="Arial" w:cs="Arial"/>
          <w:sz w:val="24"/>
          <w:szCs w:val="24"/>
        </w:rPr>
        <w:t>) A</w:t>
      </w:r>
      <w:r w:rsidRPr="008C5566">
        <w:rPr>
          <w:rFonts w:ascii="Arial" w:hAnsi="Arial" w:cs="Arial"/>
          <w:sz w:val="24"/>
          <w:szCs w:val="24"/>
        </w:rPr>
        <w:t>s at 1 October 2022</w:t>
      </w:r>
      <w:r>
        <w:rPr>
          <w:rFonts w:ascii="Arial" w:hAnsi="Arial" w:cs="Arial"/>
          <w:sz w:val="24"/>
          <w:szCs w:val="24"/>
        </w:rPr>
        <w:t xml:space="preserve">, a total number of </w:t>
      </w:r>
      <w:r>
        <w:rPr>
          <w:rFonts w:ascii="Arial" w:hAnsi="Arial" w:cs="Arial"/>
          <w:b/>
          <w:sz w:val="24"/>
          <w:szCs w:val="24"/>
        </w:rPr>
        <w:t>113</w:t>
      </w:r>
      <w:r>
        <w:rPr>
          <w:rFonts w:ascii="Arial" w:hAnsi="Arial" w:cs="Arial"/>
          <w:sz w:val="24"/>
          <w:szCs w:val="24"/>
        </w:rPr>
        <w:t xml:space="preserve"> </w:t>
      </w:r>
      <w:r w:rsidRPr="008C5566">
        <w:rPr>
          <w:rFonts w:ascii="Arial" w:hAnsi="Arial" w:cs="Arial"/>
          <w:sz w:val="24"/>
          <w:szCs w:val="24"/>
        </w:rPr>
        <w:t xml:space="preserve">public servants were </w:t>
      </w:r>
      <w:r>
        <w:rPr>
          <w:rFonts w:ascii="Arial" w:hAnsi="Arial" w:cs="Arial"/>
          <w:sz w:val="24"/>
          <w:szCs w:val="24"/>
        </w:rPr>
        <w:t>flagged</w:t>
      </w:r>
      <w:r w:rsidRPr="008C5566">
        <w:rPr>
          <w:rFonts w:ascii="Arial" w:hAnsi="Arial" w:cs="Arial"/>
          <w:sz w:val="24"/>
          <w:szCs w:val="24"/>
        </w:rPr>
        <w:t xml:space="preserve"> to be </w:t>
      </w:r>
      <w:r>
        <w:rPr>
          <w:rFonts w:ascii="Arial" w:hAnsi="Arial" w:cs="Arial"/>
          <w:sz w:val="24"/>
          <w:szCs w:val="24"/>
        </w:rPr>
        <w:t xml:space="preserve">allegedly </w:t>
      </w:r>
      <w:r w:rsidRPr="008C5566">
        <w:rPr>
          <w:rFonts w:ascii="Arial" w:hAnsi="Arial" w:cs="Arial"/>
          <w:sz w:val="24"/>
          <w:szCs w:val="24"/>
        </w:rPr>
        <w:t>conducting business with the State</w:t>
      </w:r>
      <w:r>
        <w:rPr>
          <w:rFonts w:ascii="Arial" w:hAnsi="Arial" w:cs="Arial"/>
          <w:sz w:val="24"/>
          <w:szCs w:val="24"/>
        </w:rPr>
        <w:t>.  When flagged by the DPSA, the information is shared with departments to verify if the identified employees are still in the Public Service and for departments to investigate if these employees are indeed conducting business with the State.</w:t>
      </w:r>
      <w:r>
        <w:rPr>
          <w:rFonts w:ascii="Arial" w:eastAsia="Arial" w:hAnsi="Arial" w:cs="Arial"/>
          <w:sz w:val="24"/>
          <w:szCs w:val="24"/>
        </w:rPr>
        <w:t xml:space="preserve">  As per the feedback received from departments, t</w:t>
      </w:r>
      <w:r>
        <w:rPr>
          <w:rFonts w:ascii="Arial" w:hAnsi="Arial" w:cs="Arial"/>
          <w:sz w:val="24"/>
          <w:szCs w:val="24"/>
        </w:rPr>
        <w:t>hree (</w:t>
      </w:r>
      <w:r w:rsidRPr="00CE70CC">
        <w:rPr>
          <w:rFonts w:ascii="Arial" w:hAnsi="Arial" w:cs="Arial"/>
          <w:b/>
          <w:sz w:val="24"/>
          <w:szCs w:val="24"/>
        </w:rPr>
        <w:t>3</w:t>
      </w:r>
      <w:r>
        <w:rPr>
          <w:rFonts w:ascii="Arial" w:hAnsi="Arial" w:cs="Arial"/>
          <w:sz w:val="24"/>
          <w:szCs w:val="24"/>
        </w:rPr>
        <w:t>) of these public servants are representing government in an official capacity in accordance to Regulation 13(c) of the Public Service Regulations, 2016 and one (</w:t>
      </w:r>
      <w:r w:rsidRPr="00CE70CC">
        <w:rPr>
          <w:rFonts w:ascii="Arial" w:hAnsi="Arial" w:cs="Arial"/>
          <w:b/>
          <w:sz w:val="24"/>
          <w:szCs w:val="24"/>
        </w:rPr>
        <w:t>1</w:t>
      </w:r>
      <w:r>
        <w:rPr>
          <w:rFonts w:ascii="Arial" w:hAnsi="Arial" w:cs="Arial"/>
          <w:sz w:val="24"/>
          <w:szCs w:val="24"/>
        </w:rPr>
        <w:t xml:space="preserve">) individual was a part time political advisor (see Table with information obtained from PERSAL and the respective departments). Thus, only </w:t>
      </w:r>
      <w:r w:rsidRPr="001A4BC7">
        <w:rPr>
          <w:rFonts w:ascii="Arial" w:hAnsi="Arial" w:cs="Arial"/>
          <w:b/>
          <w:sz w:val="24"/>
          <w:szCs w:val="24"/>
        </w:rPr>
        <w:t xml:space="preserve">109 </w:t>
      </w:r>
      <w:r>
        <w:rPr>
          <w:rFonts w:ascii="Arial" w:hAnsi="Arial" w:cs="Arial"/>
          <w:sz w:val="24"/>
          <w:szCs w:val="24"/>
        </w:rPr>
        <w:t xml:space="preserve">public servants are considered to be allegedly conducting business with the State.  </w:t>
      </w:r>
    </w:p>
    <w:p w:rsidR="0082007E" w:rsidRDefault="0082007E" w:rsidP="0082007E">
      <w:pPr>
        <w:pStyle w:val="ListParagraph"/>
        <w:spacing w:after="0" w:line="240" w:lineRule="auto"/>
        <w:jc w:val="both"/>
        <w:rPr>
          <w:rFonts w:ascii="Arial" w:eastAsia="Arial" w:hAnsi="Arial" w:cs="Arial"/>
          <w:sz w:val="24"/>
          <w:szCs w:val="24"/>
        </w:rPr>
      </w:pPr>
    </w:p>
    <w:p w:rsidR="0082007E" w:rsidRPr="00D54F45" w:rsidRDefault="0082007E" w:rsidP="0082007E">
      <w:pPr>
        <w:pStyle w:val="ListParagraph"/>
        <w:spacing w:after="0" w:line="240" w:lineRule="auto"/>
        <w:jc w:val="both"/>
        <w:rPr>
          <w:rFonts w:ascii="Arial" w:eastAsia="Arial" w:hAnsi="Arial" w:cs="Arial"/>
          <w:sz w:val="24"/>
          <w:szCs w:val="24"/>
        </w:rPr>
      </w:pPr>
      <w:r>
        <w:rPr>
          <w:rFonts w:ascii="Arial" w:eastAsia="Arial" w:hAnsi="Arial" w:cs="Arial"/>
          <w:sz w:val="24"/>
          <w:szCs w:val="24"/>
        </w:rPr>
        <w:t xml:space="preserve">(ii) </w:t>
      </w:r>
      <w:proofErr w:type="gramStart"/>
      <w:r w:rsidRPr="00D54F45">
        <w:rPr>
          <w:rFonts w:ascii="Arial" w:hAnsi="Arial" w:cs="Arial"/>
          <w:sz w:val="24"/>
          <w:szCs w:val="24"/>
        </w:rPr>
        <w:t>the</w:t>
      </w:r>
      <w:proofErr w:type="gramEnd"/>
      <w:r w:rsidRPr="00D54F45">
        <w:rPr>
          <w:rFonts w:ascii="Arial" w:hAnsi="Arial" w:cs="Arial"/>
          <w:sz w:val="24"/>
          <w:szCs w:val="24"/>
        </w:rPr>
        <w:t xml:space="preserve"> breakdown of the specified number for each national and provincial department and salary level of each employee</w:t>
      </w:r>
      <w:r>
        <w:rPr>
          <w:rFonts w:ascii="Arial" w:hAnsi="Arial" w:cs="Arial"/>
          <w:sz w:val="24"/>
          <w:szCs w:val="24"/>
        </w:rPr>
        <w:t xml:space="preserve"> (position is not tracked on PERSAL)</w:t>
      </w:r>
      <w:r w:rsidRPr="00D54F45">
        <w:rPr>
          <w:rFonts w:ascii="Arial" w:hAnsi="Arial" w:cs="Arial"/>
          <w:sz w:val="24"/>
          <w:szCs w:val="24"/>
        </w:rPr>
        <w:t xml:space="preserve"> is shown on the table below:</w:t>
      </w:r>
    </w:p>
    <w:p w:rsidR="0082007E" w:rsidRPr="00797978" w:rsidRDefault="0082007E" w:rsidP="0082007E">
      <w:pPr>
        <w:spacing w:after="0" w:line="240" w:lineRule="auto"/>
        <w:ind w:left="720"/>
        <w:jc w:val="both"/>
        <w:rPr>
          <w:rFonts w:ascii="Arial" w:eastAsia="Arial" w:hAnsi="Arial" w:cs="Arial"/>
          <w:sz w:val="24"/>
          <w:szCs w:val="24"/>
        </w:rPr>
      </w:pPr>
      <w:r>
        <w:rPr>
          <w:rFonts w:ascii="Arial" w:eastAsia="Arial" w:hAnsi="Arial" w:cs="Arial"/>
          <w:sz w:val="24"/>
          <w:szCs w:val="24"/>
        </w:rPr>
        <w:t>.</w:t>
      </w:r>
    </w:p>
    <w:tbl>
      <w:tblPr>
        <w:tblStyle w:val="TableGrid"/>
        <w:tblW w:w="0" w:type="auto"/>
        <w:tblLook w:val="04A0"/>
      </w:tblPr>
      <w:tblGrid>
        <w:gridCol w:w="1491"/>
        <w:gridCol w:w="757"/>
        <w:gridCol w:w="413"/>
        <w:gridCol w:w="413"/>
        <w:gridCol w:w="414"/>
        <w:gridCol w:w="414"/>
        <w:gridCol w:w="414"/>
        <w:gridCol w:w="414"/>
        <w:gridCol w:w="414"/>
        <w:gridCol w:w="410"/>
        <w:gridCol w:w="410"/>
        <w:gridCol w:w="410"/>
        <w:gridCol w:w="410"/>
        <w:gridCol w:w="406"/>
        <w:gridCol w:w="406"/>
        <w:gridCol w:w="402"/>
        <w:gridCol w:w="1194"/>
      </w:tblGrid>
      <w:tr w:rsidR="0082007E" w:rsidRPr="0061206E" w:rsidTr="00632F96">
        <w:tc>
          <w:tcPr>
            <w:tcW w:w="1491"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National Department</w:t>
            </w:r>
          </w:p>
        </w:tc>
        <w:tc>
          <w:tcPr>
            <w:tcW w:w="6507" w:type="dxa"/>
            <w:gridSpan w:val="15"/>
          </w:tcPr>
          <w:p w:rsidR="0082007E" w:rsidRPr="00652270" w:rsidRDefault="0082007E" w:rsidP="00632F96">
            <w:pPr>
              <w:tabs>
                <w:tab w:val="left" w:pos="1134"/>
              </w:tabs>
              <w:jc w:val="both"/>
              <w:rPr>
                <w:rFonts w:asciiTheme="majorHAnsi" w:eastAsia="Calibri" w:hAnsiTheme="majorHAnsi" w:cstheme="majorHAnsi"/>
                <w:b/>
                <w:sz w:val="18"/>
                <w:szCs w:val="18"/>
              </w:rPr>
            </w:pPr>
            <w:r>
              <w:rPr>
                <w:rFonts w:asciiTheme="majorHAnsi" w:eastAsia="Calibri" w:hAnsiTheme="majorHAnsi" w:cstheme="majorHAnsi"/>
                <w:b/>
                <w:sz w:val="18"/>
                <w:szCs w:val="18"/>
              </w:rPr>
              <w:t xml:space="preserve">(b) </w:t>
            </w:r>
            <w:r w:rsidRPr="00652270">
              <w:rPr>
                <w:rFonts w:asciiTheme="majorHAnsi" w:eastAsia="Calibri" w:hAnsiTheme="majorHAnsi" w:cstheme="majorHAnsi"/>
                <w:b/>
                <w:sz w:val="18"/>
                <w:szCs w:val="18"/>
              </w:rPr>
              <w:t>SALARY LEVEL</w:t>
            </w:r>
          </w:p>
        </w:tc>
        <w:tc>
          <w:tcPr>
            <w:tcW w:w="1194"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Total</w:t>
            </w:r>
          </w:p>
        </w:tc>
      </w:tr>
      <w:tr w:rsidR="0082007E" w:rsidRPr="0061206E" w:rsidTr="00632F96">
        <w:tc>
          <w:tcPr>
            <w:tcW w:w="1491" w:type="dxa"/>
          </w:tcPr>
          <w:p w:rsidR="0082007E" w:rsidRPr="00652270" w:rsidRDefault="0082007E" w:rsidP="00632F96">
            <w:pPr>
              <w:tabs>
                <w:tab w:val="left" w:pos="1134"/>
              </w:tabs>
              <w:jc w:val="both"/>
              <w:rPr>
                <w:rFonts w:asciiTheme="majorHAnsi" w:eastAsia="Calibri" w:hAnsiTheme="majorHAnsi" w:cstheme="majorHAnsi"/>
                <w:b/>
                <w:sz w:val="18"/>
                <w:szCs w:val="18"/>
              </w:rPr>
            </w:pPr>
            <w:r>
              <w:rPr>
                <w:rFonts w:asciiTheme="majorHAnsi" w:eastAsia="Calibri" w:hAnsiTheme="majorHAnsi" w:cstheme="majorHAnsi"/>
                <w:b/>
                <w:sz w:val="18"/>
                <w:szCs w:val="18"/>
              </w:rPr>
              <w:t>Department</w:t>
            </w:r>
          </w:p>
        </w:tc>
        <w:tc>
          <w:tcPr>
            <w:tcW w:w="757"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02</w:t>
            </w:r>
          </w:p>
        </w:tc>
        <w:tc>
          <w:tcPr>
            <w:tcW w:w="413"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03</w:t>
            </w:r>
          </w:p>
        </w:tc>
        <w:tc>
          <w:tcPr>
            <w:tcW w:w="413"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04</w:t>
            </w:r>
          </w:p>
        </w:tc>
        <w:tc>
          <w:tcPr>
            <w:tcW w:w="414"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05</w:t>
            </w:r>
          </w:p>
        </w:tc>
        <w:tc>
          <w:tcPr>
            <w:tcW w:w="414"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06</w:t>
            </w:r>
          </w:p>
        </w:tc>
        <w:tc>
          <w:tcPr>
            <w:tcW w:w="414"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07</w:t>
            </w:r>
          </w:p>
        </w:tc>
        <w:tc>
          <w:tcPr>
            <w:tcW w:w="414"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08</w:t>
            </w:r>
          </w:p>
        </w:tc>
        <w:tc>
          <w:tcPr>
            <w:tcW w:w="414"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09</w:t>
            </w:r>
          </w:p>
        </w:tc>
        <w:tc>
          <w:tcPr>
            <w:tcW w:w="410"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10</w:t>
            </w:r>
          </w:p>
        </w:tc>
        <w:tc>
          <w:tcPr>
            <w:tcW w:w="410"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11</w:t>
            </w:r>
          </w:p>
        </w:tc>
        <w:tc>
          <w:tcPr>
            <w:tcW w:w="410"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12</w:t>
            </w:r>
          </w:p>
        </w:tc>
        <w:tc>
          <w:tcPr>
            <w:tcW w:w="410"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13</w:t>
            </w:r>
          </w:p>
        </w:tc>
        <w:tc>
          <w:tcPr>
            <w:tcW w:w="406"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14</w:t>
            </w:r>
          </w:p>
        </w:tc>
        <w:tc>
          <w:tcPr>
            <w:tcW w:w="406"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15</w:t>
            </w:r>
          </w:p>
        </w:tc>
        <w:tc>
          <w:tcPr>
            <w:tcW w:w="402" w:type="dxa"/>
          </w:tcPr>
          <w:p w:rsidR="0082007E" w:rsidRPr="00652270" w:rsidRDefault="0082007E" w:rsidP="00632F96">
            <w:pPr>
              <w:tabs>
                <w:tab w:val="left" w:pos="1134"/>
              </w:tabs>
              <w:jc w:val="both"/>
              <w:rPr>
                <w:rFonts w:asciiTheme="majorHAnsi" w:eastAsia="Calibri" w:hAnsiTheme="majorHAnsi" w:cstheme="majorHAnsi"/>
                <w:b/>
                <w:sz w:val="18"/>
                <w:szCs w:val="18"/>
              </w:rPr>
            </w:pPr>
            <w:r w:rsidRPr="00652270">
              <w:rPr>
                <w:rFonts w:asciiTheme="majorHAnsi" w:eastAsia="Calibri" w:hAnsiTheme="majorHAnsi" w:cstheme="majorHAnsi"/>
                <w:b/>
                <w:sz w:val="18"/>
                <w:szCs w:val="18"/>
              </w:rPr>
              <w:t>16</w:t>
            </w:r>
          </w:p>
        </w:tc>
        <w:tc>
          <w:tcPr>
            <w:tcW w:w="1194" w:type="dxa"/>
          </w:tcPr>
          <w:p w:rsidR="0082007E" w:rsidRPr="00652270" w:rsidRDefault="0082007E" w:rsidP="00632F96">
            <w:pPr>
              <w:tabs>
                <w:tab w:val="left" w:pos="1134"/>
              </w:tabs>
              <w:jc w:val="both"/>
              <w:rPr>
                <w:rFonts w:asciiTheme="majorHAnsi" w:eastAsia="Calibri" w:hAnsiTheme="majorHAnsi" w:cstheme="majorHAnsi"/>
                <w:b/>
                <w:sz w:val="18"/>
                <w:szCs w:val="18"/>
              </w:rPr>
            </w:pPr>
            <w:r>
              <w:rPr>
                <w:rFonts w:asciiTheme="majorHAnsi" w:eastAsia="Calibri" w:hAnsiTheme="majorHAnsi" w:cstheme="majorHAnsi"/>
                <w:b/>
                <w:sz w:val="18"/>
                <w:szCs w:val="18"/>
              </w:rPr>
              <w:t>35</w:t>
            </w:r>
          </w:p>
        </w:tc>
      </w:tr>
      <w:tr w:rsidR="0082007E" w:rsidRPr="0061206E" w:rsidTr="00632F96">
        <w:tc>
          <w:tcPr>
            <w:tcW w:w="1491" w:type="dxa"/>
          </w:tcPr>
          <w:p w:rsidR="0082007E" w:rsidRPr="00652270" w:rsidRDefault="0082007E" w:rsidP="00632F96">
            <w:pPr>
              <w:tabs>
                <w:tab w:val="left" w:pos="1134"/>
              </w:tabs>
              <w:jc w:val="both"/>
              <w:rPr>
                <w:rFonts w:asciiTheme="majorHAnsi" w:eastAsia="Calibri" w:hAnsiTheme="majorHAnsi" w:cstheme="majorHAnsi"/>
                <w:sz w:val="18"/>
                <w:szCs w:val="18"/>
              </w:rPr>
            </w:pPr>
            <w:r w:rsidRPr="00652270">
              <w:rPr>
                <w:rFonts w:asciiTheme="majorHAnsi" w:hAnsiTheme="majorHAnsi" w:cstheme="majorHAnsi"/>
                <w:sz w:val="18"/>
                <w:szCs w:val="18"/>
              </w:rPr>
              <w:t>Trade Industry and Competition</w:t>
            </w:r>
          </w:p>
        </w:tc>
        <w:tc>
          <w:tcPr>
            <w:tcW w:w="757" w:type="dxa"/>
          </w:tcPr>
          <w:p w:rsidR="0082007E" w:rsidRPr="00652270" w:rsidRDefault="0082007E" w:rsidP="00632F96">
            <w:pPr>
              <w:jc w:val="both"/>
              <w:rPr>
                <w:rFonts w:asciiTheme="majorHAnsi" w:hAnsiTheme="majorHAnsi" w:cstheme="majorHAnsi"/>
                <w:sz w:val="18"/>
                <w:szCs w:val="18"/>
              </w:rPr>
            </w:pPr>
          </w:p>
        </w:tc>
        <w:tc>
          <w:tcPr>
            <w:tcW w:w="413" w:type="dxa"/>
          </w:tcPr>
          <w:p w:rsidR="0082007E" w:rsidRPr="00652270" w:rsidRDefault="0082007E" w:rsidP="00632F96">
            <w:pPr>
              <w:jc w:val="both"/>
              <w:rPr>
                <w:rFonts w:asciiTheme="majorHAnsi" w:hAnsiTheme="majorHAnsi" w:cstheme="majorHAnsi"/>
                <w:sz w:val="18"/>
                <w:szCs w:val="18"/>
              </w:rPr>
            </w:pPr>
          </w:p>
        </w:tc>
        <w:tc>
          <w:tcPr>
            <w:tcW w:w="413" w:type="dxa"/>
          </w:tcPr>
          <w:p w:rsidR="0082007E" w:rsidRPr="00652270" w:rsidRDefault="0082007E" w:rsidP="00632F96">
            <w:pPr>
              <w:jc w:val="both"/>
              <w:rPr>
                <w:rFonts w:asciiTheme="majorHAnsi" w:hAnsiTheme="majorHAnsi" w:cstheme="majorHAnsi"/>
                <w:sz w:val="18"/>
                <w:szCs w:val="18"/>
              </w:rPr>
            </w:pPr>
          </w:p>
        </w:tc>
        <w:tc>
          <w:tcPr>
            <w:tcW w:w="414" w:type="dxa"/>
          </w:tcPr>
          <w:p w:rsidR="0082007E" w:rsidRPr="00652270" w:rsidRDefault="0082007E" w:rsidP="00632F96">
            <w:pPr>
              <w:jc w:val="both"/>
              <w:rPr>
                <w:rFonts w:asciiTheme="majorHAnsi" w:hAnsiTheme="majorHAnsi" w:cstheme="majorHAnsi"/>
                <w:sz w:val="18"/>
                <w:szCs w:val="18"/>
              </w:rPr>
            </w:pPr>
          </w:p>
        </w:tc>
        <w:tc>
          <w:tcPr>
            <w:tcW w:w="414" w:type="dxa"/>
          </w:tcPr>
          <w:p w:rsidR="0082007E" w:rsidRPr="00652270" w:rsidRDefault="0082007E" w:rsidP="00632F96">
            <w:pPr>
              <w:jc w:val="both"/>
              <w:rPr>
                <w:rFonts w:asciiTheme="majorHAnsi" w:hAnsiTheme="majorHAnsi" w:cstheme="majorHAnsi"/>
                <w:sz w:val="18"/>
                <w:szCs w:val="18"/>
              </w:rPr>
            </w:pPr>
          </w:p>
        </w:tc>
        <w:tc>
          <w:tcPr>
            <w:tcW w:w="414" w:type="dxa"/>
          </w:tcPr>
          <w:p w:rsidR="0082007E" w:rsidRPr="00652270" w:rsidRDefault="0082007E" w:rsidP="00632F96">
            <w:pPr>
              <w:jc w:val="both"/>
              <w:rPr>
                <w:rFonts w:asciiTheme="majorHAnsi" w:hAnsiTheme="majorHAnsi" w:cstheme="majorHAnsi"/>
                <w:sz w:val="18"/>
                <w:szCs w:val="18"/>
              </w:rPr>
            </w:pPr>
          </w:p>
        </w:tc>
        <w:tc>
          <w:tcPr>
            <w:tcW w:w="414" w:type="dxa"/>
          </w:tcPr>
          <w:p w:rsidR="0082007E" w:rsidRPr="00652270" w:rsidRDefault="0082007E" w:rsidP="00632F96">
            <w:pPr>
              <w:jc w:val="both"/>
              <w:rPr>
                <w:rFonts w:asciiTheme="majorHAnsi" w:hAnsiTheme="majorHAnsi" w:cstheme="majorHAnsi"/>
                <w:sz w:val="18"/>
                <w:szCs w:val="18"/>
              </w:rPr>
            </w:pPr>
          </w:p>
        </w:tc>
        <w:tc>
          <w:tcPr>
            <w:tcW w:w="414" w:type="dxa"/>
          </w:tcPr>
          <w:p w:rsidR="0082007E" w:rsidRPr="00652270" w:rsidRDefault="0082007E" w:rsidP="00632F96">
            <w:pPr>
              <w:jc w:val="both"/>
              <w:rPr>
                <w:rFonts w:asciiTheme="majorHAnsi" w:hAnsiTheme="majorHAnsi" w:cstheme="majorHAnsi"/>
                <w:sz w:val="18"/>
                <w:szCs w:val="18"/>
              </w:rPr>
            </w:pPr>
          </w:p>
        </w:tc>
        <w:tc>
          <w:tcPr>
            <w:tcW w:w="410" w:type="dxa"/>
          </w:tcPr>
          <w:p w:rsidR="0082007E" w:rsidRPr="00652270" w:rsidRDefault="0082007E" w:rsidP="00632F96">
            <w:pPr>
              <w:jc w:val="both"/>
              <w:rPr>
                <w:rFonts w:asciiTheme="majorHAnsi" w:hAnsiTheme="majorHAnsi" w:cstheme="majorHAnsi"/>
                <w:sz w:val="18"/>
                <w:szCs w:val="18"/>
              </w:rPr>
            </w:pPr>
          </w:p>
        </w:tc>
        <w:tc>
          <w:tcPr>
            <w:tcW w:w="410" w:type="dxa"/>
          </w:tcPr>
          <w:p w:rsidR="0082007E" w:rsidRPr="00652270" w:rsidRDefault="0082007E" w:rsidP="00632F96">
            <w:pPr>
              <w:jc w:val="both"/>
              <w:rPr>
                <w:rFonts w:asciiTheme="majorHAnsi" w:hAnsiTheme="majorHAnsi" w:cstheme="majorHAnsi"/>
                <w:sz w:val="18"/>
                <w:szCs w:val="18"/>
              </w:rPr>
            </w:pPr>
          </w:p>
        </w:tc>
        <w:tc>
          <w:tcPr>
            <w:tcW w:w="410" w:type="dxa"/>
          </w:tcPr>
          <w:p w:rsidR="0082007E" w:rsidRPr="00652270" w:rsidRDefault="0082007E" w:rsidP="00632F96">
            <w:pPr>
              <w:jc w:val="both"/>
              <w:rPr>
                <w:rFonts w:asciiTheme="majorHAnsi" w:hAnsiTheme="majorHAnsi" w:cstheme="majorHAnsi"/>
                <w:sz w:val="18"/>
                <w:szCs w:val="18"/>
              </w:rPr>
            </w:pPr>
          </w:p>
        </w:tc>
        <w:tc>
          <w:tcPr>
            <w:tcW w:w="410" w:type="dxa"/>
          </w:tcPr>
          <w:p w:rsidR="0082007E" w:rsidRPr="00652270" w:rsidRDefault="0082007E" w:rsidP="00632F96">
            <w:pPr>
              <w:jc w:val="both"/>
              <w:rPr>
                <w:rFonts w:asciiTheme="majorHAnsi" w:hAnsiTheme="majorHAnsi" w:cstheme="majorHAnsi"/>
                <w:sz w:val="18"/>
                <w:szCs w:val="18"/>
              </w:rPr>
            </w:pPr>
          </w:p>
        </w:tc>
        <w:tc>
          <w:tcPr>
            <w:tcW w:w="406" w:type="dxa"/>
          </w:tcPr>
          <w:p w:rsidR="0082007E" w:rsidRPr="00652270" w:rsidRDefault="0082007E" w:rsidP="00632F96">
            <w:pPr>
              <w:jc w:val="both"/>
              <w:rPr>
                <w:rFonts w:asciiTheme="majorHAnsi" w:hAnsiTheme="majorHAnsi" w:cstheme="majorHAnsi"/>
                <w:sz w:val="18"/>
                <w:szCs w:val="18"/>
              </w:rPr>
            </w:pPr>
          </w:p>
        </w:tc>
        <w:tc>
          <w:tcPr>
            <w:tcW w:w="406" w:type="dxa"/>
          </w:tcPr>
          <w:p w:rsidR="0082007E" w:rsidRPr="00652270" w:rsidRDefault="0082007E" w:rsidP="00632F96">
            <w:pPr>
              <w:jc w:val="both"/>
              <w:rPr>
                <w:rFonts w:asciiTheme="majorHAnsi" w:hAnsiTheme="majorHAnsi" w:cstheme="majorHAnsi"/>
                <w:sz w:val="18"/>
                <w:szCs w:val="18"/>
              </w:rPr>
            </w:pPr>
            <w:r w:rsidRPr="00652270">
              <w:rPr>
                <w:rFonts w:asciiTheme="majorHAnsi" w:hAnsiTheme="majorHAnsi" w:cstheme="majorHAnsi"/>
                <w:sz w:val="18"/>
                <w:szCs w:val="18"/>
              </w:rPr>
              <w:t>1</w:t>
            </w:r>
          </w:p>
        </w:tc>
        <w:tc>
          <w:tcPr>
            <w:tcW w:w="402" w:type="dxa"/>
          </w:tcPr>
          <w:p w:rsidR="0082007E" w:rsidRPr="00652270" w:rsidRDefault="0082007E" w:rsidP="00632F96">
            <w:pPr>
              <w:jc w:val="both"/>
              <w:rPr>
                <w:rFonts w:asciiTheme="majorHAnsi" w:hAnsiTheme="majorHAnsi" w:cstheme="majorHAnsi"/>
                <w:sz w:val="18"/>
                <w:szCs w:val="18"/>
              </w:rPr>
            </w:pPr>
          </w:p>
        </w:tc>
        <w:tc>
          <w:tcPr>
            <w:tcW w:w="1194" w:type="dxa"/>
          </w:tcPr>
          <w:p w:rsidR="0082007E" w:rsidRPr="00CF1964" w:rsidRDefault="0082007E" w:rsidP="00632F96">
            <w:pPr>
              <w:jc w:val="both"/>
              <w:rPr>
                <w:rFonts w:asciiTheme="majorHAnsi" w:hAnsiTheme="majorHAnsi" w:cstheme="majorHAnsi"/>
                <w:b/>
                <w:sz w:val="18"/>
                <w:szCs w:val="18"/>
              </w:rPr>
            </w:pPr>
            <w:r w:rsidRPr="00CF1964">
              <w:rPr>
                <w:rFonts w:asciiTheme="majorHAnsi" w:hAnsiTheme="majorHAnsi" w:cstheme="majorHAnsi"/>
                <w:b/>
                <w:sz w:val="18"/>
                <w:szCs w:val="18"/>
              </w:rPr>
              <w:t>1</w:t>
            </w:r>
          </w:p>
          <w:p w:rsidR="0082007E" w:rsidRPr="00CF1964" w:rsidRDefault="0082007E" w:rsidP="00632F96">
            <w:pPr>
              <w:jc w:val="both"/>
              <w:rPr>
                <w:rFonts w:asciiTheme="majorHAnsi" w:hAnsiTheme="majorHAnsi" w:cstheme="majorHAnsi"/>
                <w:sz w:val="18"/>
                <w:szCs w:val="18"/>
              </w:rPr>
            </w:pPr>
            <w:r w:rsidRPr="00CF1964">
              <w:rPr>
                <w:rFonts w:asciiTheme="majorHAnsi" w:hAnsiTheme="majorHAnsi" w:cstheme="majorHAnsi"/>
                <w:sz w:val="18"/>
                <w:szCs w:val="18"/>
                <w:u w:val="single"/>
              </w:rPr>
              <w:t>Status</w:t>
            </w:r>
            <w:r>
              <w:rPr>
                <w:rFonts w:asciiTheme="majorHAnsi" w:hAnsiTheme="majorHAnsi" w:cstheme="majorHAnsi"/>
                <w:sz w:val="18"/>
                <w:szCs w:val="18"/>
                <w:u w:val="single"/>
              </w:rPr>
              <w:t xml:space="preserve"> provided</w:t>
            </w:r>
            <w:r w:rsidRPr="00CF1964">
              <w:rPr>
                <w:rFonts w:asciiTheme="majorHAnsi" w:hAnsiTheme="majorHAnsi" w:cstheme="majorHAnsi"/>
                <w:sz w:val="18"/>
                <w:szCs w:val="18"/>
                <w:u w:val="single"/>
              </w:rPr>
              <w:t>:</w:t>
            </w:r>
            <w:r w:rsidRPr="00CF1964">
              <w:rPr>
                <w:rFonts w:asciiTheme="majorHAnsi" w:hAnsiTheme="majorHAnsi" w:cstheme="majorHAnsi"/>
                <w:sz w:val="18"/>
                <w:szCs w:val="18"/>
              </w:rPr>
              <w:t xml:space="preserve"> </w:t>
            </w:r>
            <w:r>
              <w:rPr>
                <w:rFonts w:asciiTheme="majorHAnsi" w:hAnsiTheme="majorHAnsi" w:cstheme="majorHAnsi"/>
                <w:sz w:val="18"/>
                <w:szCs w:val="18"/>
              </w:rPr>
              <w:t>T</w:t>
            </w:r>
            <w:r w:rsidRPr="00CF1964">
              <w:rPr>
                <w:rFonts w:asciiTheme="majorHAnsi" w:hAnsiTheme="majorHAnsi" w:cstheme="majorHAnsi"/>
                <w:sz w:val="18"/>
                <w:szCs w:val="18"/>
              </w:rPr>
              <w:t>he employee represents the department at the COEGA.</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sz w:val="18"/>
                <w:szCs w:val="18"/>
              </w:rPr>
            </w:pPr>
            <w:r w:rsidRPr="00652270">
              <w:rPr>
                <w:rFonts w:asciiTheme="majorHAnsi" w:eastAsia="Calibri" w:hAnsiTheme="majorHAnsi" w:cstheme="majorHAnsi"/>
                <w:sz w:val="18"/>
                <w:szCs w:val="18"/>
              </w:rPr>
              <w:t>Agriculture, Land Reform, and Rural Development</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CF1964" w:rsidRDefault="0082007E" w:rsidP="00632F96">
            <w:pPr>
              <w:rPr>
                <w:rFonts w:asciiTheme="majorHAnsi" w:hAnsiTheme="majorHAnsi" w:cstheme="majorHAnsi"/>
                <w:sz w:val="18"/>
                <w:szCs w:val="18"/>
              </w:rPr>
            </w:pPr>
            <w:r w:rsidRPr="00CF1964">
              <w:rPr>
                <w:rFonts w:asciiTheme="majorHAnsi" w:hAnsiTheme="majorHAnsi" w:cstheme="majorHAnsi"/>
                <w:b/>
                <w:sz w:val="18"/>
                <w:szCs w:val="18"/>
              </w:rPr>
              <w:t>4</w:t>
            </w:r>
            <w:r w:rsidRPr="00CF1964">
              <w:rPr>
                <w:rFonts w:asciiTheme="majorHAnsi" w:hAnsiTheme="majorHAnsi" w:cstheme="majorHAnsi"/>
                <w:sz w:val="18"/>
                <w:szCs w:val="18"/>
              </w:rPr>
              <w:t xml:space="preserve"> </w:t>
            </w:r>
            <w:r>
              <w:rPr>
                <w:rFonts w:asciiTheme="majorHAnsi" w:hAnsiTheme="majorHAnsi" w:cstheme="majorHAnsi"/>
                <w:sz w:val="18"/>
                <w:szCs w:val="18"/>
              </w:rPr>
              <w:t xml:space="preserve">The </w:t>
            </w:r>
            <w:r w:rsidRPr="00CF1964">
              <w:rPr>
                <w:rFonts w:asciiTheme="majorHAnsi" w:hAnsiTheme="majorHAnsi" w:cstheme="majorHAnsi"/>
                <w:sz w:val="18"/>
                <w:szCs w:val="18"/>
              </w:rPr>
              <w:t xml:space="preserve">employee’s salary levels </w:t>
            </w:r>
            <w:r>
              <w:rPr>
                <w:rFonts w:asciiTheme="majorHAnsi" w:hAnsiTheme="majorHAnsi" w:cstheme="majorHAnsi"/>
                <w:sz w:val="18"/>
                <w:szCs w:val="18"/>
              </w:rPr>
              <w:t xml:space="preserve">are </w:t>
            </w:r>
            <w:r w:rsidRPr="00CF1964">
              <w:rPr>
                <w:rFonts w:asciiTheme="majorHAnsi" w:hAnsiTheme="majorHAnsi" w:cstheme="majorHAnsi"/>
                <w:sz w:val="18"/>
                <w:szCs w:val="18"/>
              </w:rPr>
              <w:t>not specified.</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Public Service and Administration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CF1964" w:rsidRDefault="0082007E" w:rsidP="00632F96">
            <w:pPr>
              <w:rPr>
                <w:rFonts w:asciiTheme="majorHAnsi" w:hAnsiTheme="majorHAnsi" w:cstheme="majorHAnsi"/>
                <w:b/>
                <w:sz w:val="18"/>
                <w:szCs w:val="18"/>
              </w:rPr>
            </w:pPr>
            <w:r w:rsidRPr="00CF1964">
              <w:rPr>
                <w:rFonts w:asciiTheme="majorHAnsi" w:hAnsiTheme="majorHAnsi" w:cstheme="majorHAnsi"/>
                <w:b/>
                <w:sz w:val="18"/>
                <w:szCs w:val="18"/>
              </w:rPr>
              <w:t>2</w:t>
            </w:r>
          </w:p>
          <w:p w:rsidR="0082007E" w:rsidRPr="00CF1964" w:rsidRDefault="0082007E" w:rsidP="00632F96">
            <w:pPr>
              <w:rPr>
                <w:rFonts w:asciiTheme="majorHAnsi" w:hAnsiTheme="majorHAnsi" w:cstheme="majorHAnsi"/>
                <w:sz w:val="18"/>
                <w:szCs w:val="18"/>
              </w:rPr>
            </w:pPr>
            <w:r w:rsidRPr="00CF1964">
              <w:rPr>
                <w:rFonts w:asciiTheme="majorHAnsi" w:hAnsiTheme="majorHAnsi" w:cstheme="majorHAnsi"/>
                <w:sz w:val="18"/>
                <w:szCs w:val="18"/>
                <w:u w:val="single"/>
              </w:rPr>
              <w:t>Status</w:t>
            </w:r>
            <w:r>
              <w:rPr>
                <w:rFonts w:asciiTheme="majorHAnsi" w:hAnsiTheme="majorHAnsi" w:cstheme="majorHAnsi"/>
                <w:sz w:val="18"/>
                <w:szCs w:val="18"/>
                <w:u w:val="single"/>
              </w:rPr>
              <w:t xml:space="preserve"> provided</w:t>
            </w:r>
            <w:r w:rsidRPr="00CF1964">
              <w:rPr>
                <w:rFonts w:asciiTheme="majorHAnsi" w:hAnsiTheme="majorHAnsi" w:cstheme="majorHAnsi"/>
                <w:sz w:val="18"/>
                <w:szCs w:val="18"/>
                <w:u w:val="single"/>
              </w:rPr>
              <w:t>:</w:t>
            </w:r>
            <w:r w:rsidRPr="00CF1964">
              <w:rPr>
                <w:rFonts w:asciiTheme="majorHAnsi" w:hAnsiTheme="majorHAnsi" w:cstheme="majorHAnsi"/>
                <w:sz w:val="18"/>
                <w:szCs w:val="18"/>
              </w:rPr>
              <w:t xml:space="preserve"> </w:t>
            </w:r>
            <w:r>
              <w:rPr>
                <w:rFonts w:asciiTheme="majorHAnsi" w:hAnsiTheme="majorHAnsi" w:cstheme="majorHAnsi"/>
                <w:sz w:val="18"/>
                <w:szCs w:val="18"/>
              </w:rPr>
              <w:t>One (</w:t>
            </w:r>
            <w:r w:rsidRPr="00CF1964">
              <w:rPr>
                <w:rFonts w:asciiTheme="majorHAnsi" w:hAnsiTheme="majorHAnsi" w:cstheme="majorHAnsi"/>
                <w:sz w:val="18"/>
                <w:szCs w:val="18"/>
              </w:rPr>
              <w:t>1</w:t>
            </w:r>
            <w:r>
              <w:rPr>
                <w:rFonts w:asciiTheme="majorHAnsi" w:hAnsiTheme="majorHAnsi" w:cstheme="majorHAnsi"/>
                <w:sz w:val="18"/>
                <w:szCs w:val="18"/>
              </w:rPr>
              <w:t>)</w:t>
            </w:r>
            <w:r w:rsidRPr="00CF1964">
              <w:rPr>
                <w:rFonts w:asciiTheme="majorHAnsi" w:hAnsiTheme="majorHAnsi" w:cstheme="majorHAnsi"/>
                <w:sz w:val="18"/>
                <w:szCs w:val="18"/>
              </w:rPr>
              <w:t xml:space="preserve"> employee was part-time Special Adviser to the previous MPSA with </w:t>
            </w:r>
            <w:r>
              <w:rPr>
                <w:rFonts w:asciiTheme="majorHAnsi" w:hAnsiTheme="majorHAnsi" w:cstheme="majorHAnsi"/>
                <w:sz w:val="18"/>
                <w:szCs w:val="18"/>
              </w:rPr>
              <w:t xml:space="preserve">the </w:t>
            </w:r>
            <w:r w:rsidRPr="00CF1964">
              <w:rPr>
                <w:rFonts w:asciiTheme="majorHAnsi" w:hAnsiTheme="majorHAnsi" w:cstheme="majorHAnsi"/>
                <w:sz w:val="18"/>
                <w:szCs w:val="18"/>
              </w:rPr>
              <w:t xml:space="preserve">contract linked to </w:t>
            </w:r>
            <w:r>
              <w:rPr>
                <w:rFonts w:asciiTheme="majorHAnsi" w:hAnsiTheme="majorHAnsi" w:cstheme="majorHAnsi"/>
                <w:sz w:val="18"/>
                <w:szCs w:val="18"/>
              </w:rPr>
              <w:t xml:space="preserve">the </w:t>
            </w:r>
            <w:r w:rsidRPr="00CF1964">
              <w:rPr>
                <w:rFonts w:asciiTheme="majorHAnsi" w:hAnsiTheme="majorHAnsi" w:cstheme="majorHAnsi"/>
                <w:sz w:val="18"/>
                <w:szCs w:val="18"/>
              </w:rPr>
              <w:t>term of office.</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Water and Sanitation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2</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Higher Education and Training</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2</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8</w:t>
            </w:r>
          </w:p>
          <w:p w:rsidR="0082007E" w:rsidRPr="00652270" w:rsidRDefault="0082007E" w:rsidP="00632F96">
            <w:pPr>
              <w:rPr>
                <w:rFonts w:asciiTheme="majorHAnsi" w:hAnsiTheme="majorHAnsi" w:cstheme="majorHAnsi"/>
                <w:sz w:val="18"/>
                <w:szCs w:val="18"/>
              </w:rPr>
            </w:pP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Correctional Services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3</w:t>
            </w: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2</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8</w:t>
            </w:r>
          </w:p>
          <w:p w:rsidR="0082007E" w:rsidRPr="00652270" w:rsidRDefault="0082007E" w:rsidP="00632F96">
            <w:pPr>
              <w:rPr>
                <w:rFonts w:asciiTheme="majorHAnsi" w:hAnsiTheme="majorHAnsi" w:cstheme="majorHAnsi"/>
                <w:sz w:val="18"/>
                <w:szCs w:val="18"/>
              </w:rPr>
            </w:pP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Transport</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Sport Arts and Culture</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Justice and Constitutional Development</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Statistical South Africa</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b/>
                <w:sz w:val="18"/>
                <w:szCs w:val="18"/>
              </w:rPr>
              <w:t>1</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Basic 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Science and Innovation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3</w:t>
            </w:r>
          </w:p>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sz w:val="18"/>
                <w:szCs w:val="18"/>
                <w:u w:val="single"/>
              </w:rPr>
              <w:t>Status</w:t>
            </w:r>
            <w:r>
              <w:rPr>
                <w:rFonts w:asciiTheme="majorHAnsi" w:hAnsiTheme="majorHAnsi" w:cstheme="majorHAnsi"/>
                <w:sz w:val="18"/>
                <w:szCs w:val="18"/>
                <w:u w:val="single"/>
              </w:rPr>
              <w:t xml:space="preserve"> report</w:t>
            </w:r>
            <w:r w:rsidRPr="00652270">
              <w:rPr>
                <w:rFonts w:asciiTheme="majorHAnsi" w:hAnsiTheme="majorHAnsi" w:cstheme="majorHAnsi"/>
                <w:sz w:val="18"/>
                <w:szCs w:val="18"/>
                <w:u w:val="single"/>
              </w:rPr>
              <w:t>:</w:t>
            </w:r>
            <w:r w:rsidRPr="00652270">
              <w:rPr>
                <w:rFonts w:asciiTheme="majorHAnsi" w:hAnsiTheme="majorHAnsi" w:cstheme="majorHAnsi"/>
                <w:b/>
                <w:sz w:val="18"/>
                <w:szCs w:val="18"/>
              </w:rPr>
              <w:t xml:space="preserve"> </w:t>
            </w:r>
            <w:r w:rsidRPr="00C02498">
              <w:rPr>
                <w:rFonts w:asciiTheme="majorHAnsi" w:hAnsiTheme="majorHAnsi" w:cstheme="majorHAnsi"/>
                <w:sz w:val="18"/>
                <w:szCs w:val="18"/>
              </w:rPr>
              <w:t>Two (2) of t</w:t>
            </w:r>
            <w:r w:rsidRPr="00CF1964">
              <w:rPr>
                <w:rFonts w:asciiTheme="majorHAnsi" w:hAnsiTheme="majorHAnsi" w:cstheme="majorHAnsi"/>
                <w:sz w:val="18"/>
                <w:szCs w:val="18"/>
              </w:rPr>
              <w:t xml:space="preserve">he employees </w:t>
            </w:r>
            <w:r>
              <w:rPr>
                <w:rFonts w:asciiTheme="majorHAnsi" w:hAnsiTheme="majorHAnsi" w:cstheme="majorHAnsi"/>
                <w:sz w:val="18"/>
                <w:szCs w:val="18"/>
              </w:rPr>
              <w:t xml:space="preserve">were </w:t>
            </w:r>
            <w:r w:rsidRPr="00CF1964">
              <w:rPr>
                <w:rFonts w:asciiTheme="majorHAnsi" w:hAnsiTheme="majorHAnsi" w:cstheme="majorHAnsi"/>
                <w:sz w:val="18"/>
                <w:szCs w:val="18"/>
              </w:rPr>
              <w:t>appointed</w:t>
            </w:r>
            <w:r>
              <w:rPr>
                <w:rFonts w:asciiTheme="majorHAnsi" w:hAnsiTheme="majorHAnsi" w:cstheme="majorHAnsi"/>
                <w:sz w:val="18"/>
                <w:szCs w:val="18"/>
              </w:rPr>
              <w:t xml:space="preserve"> as</w:t>
            </w:r>
            <w:r w:rsidRPr="00CF1964">
              <w:rPr>
                <w:rFonts w:asciiTheme="majorHAnsi" w:hAnsiTheme="majorHAnsi" w:cstheme="majorHAnsi"/>
                <w:sz w:val="18"/>
                <w:szCs w:val="18"/>
              </w:rPr>
              <w:t xml:space="preserve"> Board members of the Biological and Vaccines Institute of SA (</w:t>
            </w:r>
            <w:r w:rsidRPr="001C72D7">
              <w:rPr>
                <w:rFonts w:asciiTheme="majorHAnsi" w:hAnsiTheme="majorHAnsi" w:cstheme="majorHAnsi"/>
                <w:sz w:val="18"/>
                <w:szCs w:val="18"/>
              </w:rPr>
              <w:t>BIOVAC).</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 xml:space="preserve">Government Communication and Information </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b/>
                <w:sz w:val="18"/>
                <w:szCs w:val="18"/>
              </w:rPr>
              <w:t>1</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Environment, Forestry and Fisheries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Pr>
                <w:rFonts w:asciiTheme="majorHAnsi" w:eastAsia="Calibri" w:hAnsiTheme="majorHAnsi" w:cstheme="majorHAnsi"/>
                <w:b/>
                <w:sz w:val="18"/>
                <w:szCs w:val="18"/>
              </w:rPr>
              <w:t>Provincial Department</w:t>
            </w:r>
          </w:p>
        </w:tc>
        <w:tc>
          <w:tcPr>
            <w:tcW w:w="6507" w:type="dxa"/>
            <w:gridSpan w:val="15"/>
          </w:tcPr>
          <w:p w:rsidR="0082007E" w:rsidRPr="00652270" w:rsidRDefault="0082007E" w:rsidP="00632F96">
            <w:pPr>
              <w:tabs>
                <w:tab w:val="left" w:pos="1134"/>
              </w:tabs>
              <w:jc w:val="center"/>
              <w:rPr>
                <w:rFonts w:asciiTheme="majorHAnsi" w:eastAsia="Calibri" w:hAnsiTheme="majorHAnsi" w:cstheme="majorHAnsi"/>
                <w:b/>
                <w:sz w:val="18"/>
                <w:szCs w:val="18"/>
              </w:rPr>
            </w:pPr>
            <w:r>
              <w:rPr>
                <w:rFonts w:asciiTheme="majorHAnsi" w:eastAsia="Calibri" w:hAnsiTheme="majorHAnsi" w:cstheme="majorHAnsi"/>
                <w:b/>
                <w:sz w:val="18"/>
                <w:szCs w:val="18"/>
              </w:rPr>
              <w:t>SALARY LEVEL</w:t>
            </w: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r>
              <w:rPr>
                <w:rFonts w:asciiTheme="majorHAnsi" w:eastAsia="Calibri" w:hAnsiTheme="majorHAnsi" w:cstheme="majorHAnsi"/>
                <w:b/>
                <w:sz w:val="18"/>
                <w:szCs w:val="18"/>
              </w:rPr>
              <w:t>Total</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Pr>
                <w:rFonts w:asciiTheme="majorHAnsi" w:eastAsia="Calibri" w:hAnsiTheme="majorHAnsi" w:cstheme="majorHAnsi"/>
                <w:b/>
                <w:sz w:val="18"/>
                <w:szCs w:val="18"/>
              </w:rPr>
              <w:t>Department</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02</w:t>
            </w: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03</w:t>
            </w: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04</w:t>
            </w: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05</w:t>
            </w: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06</w:t>
            </w: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07</w:t>
            </w: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08</w:t>
            </w: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09</w:t>
            </w: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10</w:t>
            </w: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11</w:t>
            </w: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12</w:t>
            </w: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13</w:t>
            </w: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14</w:t>
            </w: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15</w:t>
            </w: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16</w:t>
            </w: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r>
              <w:rPr>
                <w:rFonts w:asciiTheme="majorHAnsi" w:eastAsia="Calibri" w:hAnsiTheme="majorHAnsi" w:cstheme="majorHAnsi"/>
                <w:b/>
                <w:sz w:val="18"/>
                <w:szCs w:val="18"/>
              </w:rPr>
              <w:t>78</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Eastern Cape (10)</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Cooperative Governance &amp; Traditional Affairs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2</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2</w:t>
            </w:r>
          </w:p>
          <w:p w:rsidR="0082007E" w:rsidRPr="00652270" w:rsidRDefault="0082007E" w:rsidP="00632F96">
            <w:pPr>
              <w:rPr>
                <w:rFonts w:asciiTheme="majorHAnsi" w:hAnsiTheme="majorHAnsi" w:cstheme="majorHAnsi"/>
                <w:sz w:val="18"/>
                <w:szCs w:val="18"/>
              </w:rPr>
            </w:pP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r>
              <w:rPr>
                <w:rFonts w:asciiTheme="majorHAnsi" w:hAnsiTheme="majorHAnsi" w:cstheme="majorHAnsi"/>
                <w:sz w:val="18"/>
                <w:szCs w:val="18"/>
              </w:rPr>
              <w:t>2</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Pr>
                <w:rFonts w:asciiTheme="majorHAnsi" w:hAnsiTheme="majorHAnsi" w:cstheme="majorHAnsi"/>
                <w:b/>
                <w:sz w:val="18"/>
                <w:szCs w:val="18"/>
              </w:rPr>
              <w:t>3</w:t>
            </w:r>
          </w:p>
          <w:p w:rsidR="0082007E" w:rsidRPr="00652270" w:rsidRDefault="0082007E" w:rsidP="00632F96">
            <w:pPr>
              <w:rPr>
                <w:rFonts w:asciiTheme="majorHAns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Office of the Premier</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b/>
                <w:sz w:val="18"/>
                <w:szCs w:val="18"/>
              </w:rPr>
            </w:pPr>
            <w:r>
              <w:rPr>
                <w:rFonts w:asciiTheme="majorHAnsi" w:hAnsiTheme="majorHAnsi" w:cstheme="majorHAnsi"/>
                <w:b/>
                <w:sz w:val="18"/>
                <w:szCs w:val="18"/>
              </w:rPr>
              <w:t>1</w:t>
            </w:r>
          </w:p>
        </w:tc>
        <w:tc>
          <w:tcPr>
            <w:tcW w:w="1194" w:type="dxa"/>
          </w:tcPr>
          <w:p w:rsidR="0082007E" w:rsidRPr="00652270" w:rsidRDefault="0082007E" w:rsidP="00632F96">
            <w:pPr>
              <w:rPr>
                <w:rFonts w:asciiTheme="majorHAnsi" w:hAnsiTheme="majorHAnsi" w:cstheme="majorHAnsi"/>
                <w:b/>
                <w:sz w:val="18"/>
                <w:szCs w:val="18"/>
              </w:rPr>
            </w:pPr>
            <w:r>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Provincial Treasury</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p w:rsidR="0082007E" w:rsidRPr="00652270" w:rsidRDefault="0082007E" w:rsidP="00632F96">
            <w:pPr>
              <w:rPr>
                <w:rFonts w:asciiTheme="majorHAnsi" w:hAnsiTheme="majorHAnsi" w:cstheme="majorHAnsi"/>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Pr>
                <w:rFonts w:asciiTheme="majorHAnsi" w:hAnsiTheme="majorHAnsi" w:cstheme="majorHAnsi"/>
                <w:sz w:val="18"/>
                <w:szCs w:val="18"/>
              </w:rPr>
              <w:t>Roads and Public Works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Pr>
                <w:rFonts w:asciiTheme="majorHAnsi" w:hAnsiTheme="majorHAnsi" w:cstheme="majorHAnsi"/>
                <w:b/>
                <w:sz w:val="18"/>
                <w:szCs w:val="18"/>
              </w:rPr>
              <w:t xml:space="preserve">1 </w:t>
            </w: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Free State (4)</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2</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Provincial Treasury</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Gauteng (3)</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2</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KwaZulu-Natal (17)</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Corporate Governance and Traditional Affairs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2</w:t>
            </w:r>
            <w:r>
              <w:rPr>
                <w:rFonts w:asciiTheme="majorHAnsi" w:hAnsiTheme="majorHAnsi" w:cstheme="majorHAnsi"/>
                <w:b/>
                <w:sz w:val="18"/>
                <w:szCs w:val="18"/>
              </w:rPr>
              <w:t xml:space="preserve"> </w:t>
            </w: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b/>
                <w:sz w:val="18"/>
                <w:szCs w:val="18"/>
              </w:rPr>
              <w:t>4</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two (2)</w:t>
            </w:r>
            <w:r w:rsidRPr="00652270">
              <w:rPr>
                <w:rFonts w:asciiTheme="majorHAnsi" w:hAnsiTheme="majorHAnsi" w:cstheme="majorHAnsi"/>
                <w:sz w:val="18"/>
                <w:szCs w:val="18"/>
              </w:rPr>
              <w:t xml:space="preserve"> employee</w:t>
            </w:r>
            <w:r>
              <w:rPr>
                <w:rFonts w:asciiTheme="majorHAnsi" w:hAnsiTheme="majorHAnsi" w:cstheme="majorHAnsi"/>
                <w:sz w:val="18"/>
                <w:szCs w:val="18"/>
              </w:rPr>
              <w:t>s</w:t>
            </w:r>
            <w:r w:rsidRPr="00652270">
              <w:rPr>
                <w:rFonts w:asciiTheme="majorHAnsi" w:hAnsiTheme="majorHAnsi" w:cstheme="majorHAnsi"/>
                <w:sz w:val="18"/>
                <w:szCs w:val="18"/>
              </w:rPr>
              <w:t xml:space="preserve"> </w:t>
            </w:r>
            <w:r>
              <w:rPr>
                <w:rFonts w:asciiTheme="majorHAnsi" w:hAnsiTheme="majorHAnsi" w:cstheme="majorHAnsi"/>
                <w:sz w:val="18"/>
                <w:szCs w:val="18"/>
              </w:rPr>
              <w:t>were</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2</w:t>
            </w: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CF1964" w:rsidRDefault="0082007E" w:rsidP="00632F96">
            <w:pPr>
              <w:rPr>
                <w:rFonts w:asciiTheme="majorHAnsi" w:hAnsiTheme="majorHAnsi" w:cstheme="majorHAnsi"/>
                <w:b/>
                <w:sz w:val="18"/>
                <w:szCs w:val="18"/>
              </w:rPr>
            </w:pPr>
            <w:r w:rsidRPr="00CF1964">
              <w:rPr>
                <w:rFonts w:asciiTheme="majorHAnsi" w:hAnsiTheme="majorHAnsi" w:cstheme="majorHAnsi"/>
                <w:b/>
                <w:sz w:val="18"/>
                <w:szCs w:val="18"/>
              </w:rPr>
              <w:t>4</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Transport</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b/>
                <w:sz w:val="18"/>
                <w:szCs w:val="18"/>
              </w:rPr>
              <w:t>5</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five (5)</w:t>
            </w:r>
            <w:r w:rsidRPr="00652270">
              <w:rPr>
                <w:rFonts w:asciiTheme="majorHAnsi" w:hAnsiTheme="majorHAnsi" w:cstheme="majorHAnsi"/>
                <w:sz w:val="18"/>
                <w:szCs w:val="18"/>
              </w:rPr>
              <w:t xml:space="preserve"> employee </w:t>
            </w:r>
            <w:r>
              <w:rPr>
                <w:rFonts w:asciiTheme="majorHAnsi" w:hAnsiTheme="majorHAnsi" w:cstheme="majorHAnsi"/>
                <w:sz w:val="18"/>
                <w:szCs w:val="18"/>
              </w:rPr>
              <w:t>were</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Office of the Premier</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Social Development</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Western Cape (1)</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Transport and Public Works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Northern Cape (1</w:t>
            </w:r>
            <w:r>
              <w:rPr>
                <w:rFonts w:asciiTheme="majorHAnsi" w:eastAsia="Calibri" w:hAnsiTheme="majorHAnsi" w:cstheme="majorHAnsi"/>
                <w:b/>
                <w:sz w:val="18"/>
                <w:szCs w:val="18"/>
              </w:rPr>
              <w:t>6</w:t>
            </w:r>
            <w:r w:rsidRPr="00652270">
              <w:rPr>
                <w:rFonts w:asciiTheme="majorHAnsi" w:eastAsia="Calibri" w:hAnsiTheme="majorHAnsi" w:cstheme="majorHAnsi"/>
                <w:b/>
                <w:sz w:val="18"/>
                <w:szCs w:val="18"/>
              </w:rPr>
              <w:t>)</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E80C49"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b/>
                <w:sz w:val="18"/>
                <w:szCs w:val="18"/>
              </w:rPr>
              <w:t>9</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five (5)</w:t>
            </w:r>
            <w:r w:rsidRPr="00652270">
              <w:rPr>
                <w:rFonts w:asciiTheme="majorHAnsi" w:hAnsiTheme="majorHAnsi" w:cstheme="majorHAnsi"/>
                <w:sz w:val="18"/>
                <w:szCs w:val="18"/>
              </w:rPr>
              <w:t xml:space="preserve"> employee </w:t>
            </w:r>
            <w:r>
              <w:rPr>
                <w:rFonts w:asciiTheme="majorHAnsi" w:hAnsiTheme="majorHAnsi" w:cstheme="majorHAnsi"/>
                <w:sz w:val="18"/>
                <w:szCs w:val="18"/>
              </w:rPr>
              <w:t>were</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E80C49"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E84F5C" w:rsidRDefault="0082007E" w:rsidP="00632F96">
            <w:pPr>
              <w:rPr>
                <w:rFonts w:asciiTheme="majorHAnsi" w:hAnsiTheme="majorHAnsi" w:cstheme="majorHAnsi"/>
                <w:b/>
                <w:sz w:val="18"/>
                <w:szCs w:val="18"/>
              </w:rPr>
            </w:pPr>
            <w:r w:rsidRPr="00E84F5C">
              <w:rPr>
                <w:rFonts w:asciiTheme="majorHAnsi" w:hAnsiTheme="majorHAnsi" w:cstheme="majorHAnsi"/>
                <w:b/>
                <w:sz w:val="18"/>
                <w:szCs w:val="18"/>
              </w:rPr>
              <w:t>2</w:t>
            </w:r>
          </w:p>
        </w:tc>
      </w:tr>
      <w:tr w:rsidR="0082007E" w:rsidRPr="00E80C49"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Corporate Governance Human Settlements and Traditional Affairs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2</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E84F5C">
              <w:rPr>
                <w:rFonts w:asciiTheme="majorHAnsi" w:hAnsiTheme="majorHAnsi" w:cstheme="majorHAnsi"/>
                <w:b/>
                <w:sz w:val="18"/>
                <w:szCs w:val="18"/>
              </w:rPr>
              <w:t>4</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E80C49"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Agriculture Environmental Affairs Rural Development and Rural Reform</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E84F5C" w:rsidRDefault="0082007E" w:rsidP="00632F96">
            <w:pPr>
              <w:rPr>
                <w:rFonts w:asciiTheme="majorHAnsi" w:hAnsiTheme="majorHAnsi" w:cstheme="majorHAnsi"/>
                <w:b/>
                <w:sz w:val="18"/>
                <w:szCs w:val="18"/>
              </w:rPr>
            </w:pPr>
            <w:r w:rsidRPr="00E84F5C">
              <w:rPr>
                <w:rFonts w:asciiTheme="majorHAnsi" w:hAnsiTheme="majorHAnsi" w:cstheme="majorHAnsi"/>
                <w:b/>
                <w:sz w:val="18"/>
                <w:szCs w:val="18"/>
              </w:rPr>
              <w:t>1</w:t>
            </w:r>
            <w:r>
              <w:rPr>
                <w:rFonts w:asciiTheme="majorHAnsi" w:hAnsiTheme="majorHAnsi" w:cstheme="majorHAnsi"/>
                <w:b/>
                <w:sz w:val="18"/>
                <w:szCs w:val="18"/>
              </w:rPr>
              <w:t xml:space="preserve"> </w:t>
            </w: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Limpopo (7)</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3</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Corporate Governance Human Settlements and Traditional Affairs</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b/>
                <w:sz w:val="18"/>
                <w:szCs w:val="18"/>
              </w:rPr>
              <w:t>2</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one (</w:t>
            </w:r>
            <w:r w:rsidRPr="00652270">
              <w:rPr>
                <w:rFonts w:asciiTheme="majorHAnsi" w:hAnsiTheme="majorHAnsi" w:cstheme="majorHAnsi"/>
                <w:sz w:val="18"/>
                <w:szCs w:val="18"/>
              </w:rPr>
              <w:t>1</w:t>
            </w:r>
            <w:r>
              <w:rPr>
                <w:rFonts w:asciiTheme="majorHAnsi" w:hAnsiTheme="majorHAnsi" w:cstheme="majorHAnsi"/>
                <w:sz w:val="18"/>
                <w:szCs w:val="18"/>
              </w:rPr>
              <w:t>)</w:t>
            </w:r>
            <w:r w:rsidRPr="00652270">
              <w:rPr>
                <w:rFonts w:asciiTheme="majorHAnsi" w:hAnsiTheme="majorHAnsi" w:cstheme="majorHAnsi"/>
                <w:sz w:val="18"/>
                <w:szCs w:val="18"/>
              </w:rPr>
              <w:t xml:space="preserve"> employee </w:t>
            </w:r>
            <w:r>
              <w:rPr>
                <w:rFonts w:asciiTheme="majorHAnsi" w:hAnsiTheme="majorHAnsi" w:cstheme="majorHAnsi"/>
                <w:sz w:val="18"/>
                <w:szCs w:val="18"/>
              </w:rPr>
              <w:t>was</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2</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Mpumalanga (19)</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Education</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2</w:t>
            </w: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2</w:t>
            </w: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7</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b/>
                <w:sz w:val="18"/>
                <w:szCs w:val="18"/>
              </w:rPr>
              <w:t>10</w:t>
            </w:r>
            <w:r w:rsidRPr="00652270">
              <w:rPr>
                <w:rFonts w:asciiTheme="majorHAnsi" w:hAnsiTheme="majorHAnsi" w:cstheme="majorHAnsi"/>
                <w:sz w:val="18"/>
                <w:szCs w:val="18"/>
              </w:rPr>
              <w:t xml:space="preserve"> </w:t>
            </w:r>
            <w:r>
              <w:rPr>
                <w:rFonts w:asciiTheme="majorHAnsi" w:hAnsiTheme="majorHAnsi" w:cstheme="majorHAnsi"/>
                <w:sz w:val="18"/>
                <w:szCs w:val="18"/>
              </w:rPr>
              <w:t>The salary level of nine (9)</w:t>
            </w:r>
            <w:r w:rsidRPr="00652270">
              <w:rPr>
                <w:rFonts w:asciiTheme="majorHAnsi" w:hAnsiTheme="majorHAnsi" w:cstheme="majorHAnsi"/>
                <w:sz w:val="18"/>
                <w:szCs w:val="18"/>
              </w:rPr>
              <w:t xml:space="preserve"> employee</w:t>
            </w:r>
            <w:r>
              <w:rPr>
                <w:rFonts w:asciiTheme="majorHAnsi" w:hAnsiTheme="majorHAnsi" w:cstheme="majorHAnsi"/>
                <w:sz w:val="18"/>
                <w:szCs w:val="18"/>
              </w:rPr>
              <w:t>s</w:t>
            </w:r>
            <w:r w:rsidRPr="00652270">
              <w:rPr>
                <w:rFonts w:asciiTheme="majorHAnsi" w:hAnsiTheme="majorHAnsi" w:cstheme="majorHAnsi"/>
                <w:sz w:val="18"/>
                <w:szCs w:val="18"/>
              </w:rPr>
              <w:t xml:space="preserve"> </w:t>
            </w:r>
            <w:r>
              <w:rPr>
                <w:rFonts w:asciiTheme="majorHAnsi" w:hAnsiTheme="majorHAnsi" w:cstheme="majorHAnsi"/>
                <w:sz w:val="18"/>
                <w:szCs w:val="18"/>
              </w:rPr>
              <w:t>were</w:t>
            </w:r>
            <w:r w:rsidRPr="00652270">
              <w:rPr>
                <w:rFonts w:asciiTheme="majorHAnsi" w:hAnsiTheme="majorHAnsi" w:cstheme="majorHAnsi"/>
                <w:sz w:val="18"/>
                <w:szCs w:val="18"/>
              </w:rPr>
              <w:t xml:space="preserve"> not specified</w:t>
            </w:r>
            <w:r>
              <w:rPr>
                <w:rFonts w:asciiTheme="majorHAnsi" w:hAnsiTheme="majorHAnsi" w:cstheme="majorHAnsi"/>
                <w:sz w:val="18"/>
                <w:szCs w:val="18"/>
              </w:rPr>
              <w:t>.</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Provincial Treasury</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Public Works Roads and Transport</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r w:rsidRPr="00652270">
              <w:rPr>
                <w:rFonts w:asciiTheme="majorHAnsi" w:eastAsia="Calibri" w:hAnsiTheme="majorHAnsi" w:cstheme="majorHAnsi"/>
                <w:b/>
                <w:sz w:val="18"/>
                <w:szCs w:val="18"/>
              </w:rPr>
              <w:t>North West (1)</w:t>
            </w: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r w:rsidR="0082007E" w:rsidRPr="0061206E" w:rsidTr="00632F96">
        <w:tc>
          <w:tcPr>
            <w:tcW w:w="1491"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Health</w:t>
            </w:r>
          </w:p>
        </w:tc>
        <w:tc>
          <w:tcPr>
            <w:tcW w:w="757"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3"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r w:rsidRPr="00652270">
              <w:rPr>
                <w:rFonts w:asciiTheme="majorHAnsi" w:hAnsiTheme="majorHAnsi" w:cstheme="majorHAnsi"/>
                <w:sz w:val="18"/>
                <w:szCs w:val="18"/>
              </w:rPr>
              <w:t>1</w:t>
            </w:r>
          </w:p>
        </w:tc>
        <w:tc>
          <w:tcPr>
            <w:tcW w:w="414" w:type="dxa"/>
          </w:tcPr>
          <w:p w:rsidR="0082007E" w:rsidRPr="00652270" w:rsidRDefault="0082007E" w:rsidP="00632F96">
            <w:pPr>
              <w:rPr>
                <w:rFonts w:asciiTheme="majorHAnsi" w:hAnsiTheme="majorHAnsi" w:cstheme="majorHAnsi"/>
                <w:sz w:val="18"/>
                <w:szCs w:val="18"/>
              </w:rPr>
            </w:pPr>
          </w:p>
        </w:tc>
        <w:tc>
          <w:tcPr>
            <w:tcW w:w="414"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10"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6" w:type="dxa"/>
          </w:tcPr>
          <w:p w:rsidR="0082007E" w:rsidRPr="00652270" w:rsidRDefault="0082007E" w:rsidP="00632F96">
            <w:pPr>
              <w:rPr>
                <w:rFonts w:asciiTheme="majorHAnsi" w:hAnsiTheme="majorHAnsi" w:cstheme="majorHAnsi"/>
                <w:sz w:val="18"/>
                <w:szCs w:val="18"/>
              </w:rPr>
            </w:pPr>
          </w:p>
        </w:tc>
        <w:tc>
          <w:tcPr>
            <w:tcW w:w="402" w:type="dxa"/>
          </w:tcPr>
          <w:p w:rsidR="0082007E" w:rsidRPr="00652270" w:rsidRDefault="0082007E" w:rsidP="00632F96">
            <w:pPr>
              <w:rPr>
                <w:rFonts w:asciiTheme="majorHAnsi" w:hAnsiTheme="majorHAnsi" w:cstheme="majorHAnsi"/>
                <w:sz w:val="18"/>
                <w:szCs w:val="18"/>
              </w:rPr>
            </w:pPr>
          </w:p>
        </w:tc>
        <w:tc>
          <w:tcPr>
            <w:tcW w:w="1194" w:type="dxa"/>
          </w:tcPr>
          <w:p w:rsidR="0082007E" w:rsidRPr="00652270" w:rsidRDefault="0082007E" w:rsidP="00632F96">
            <w:pPr>
              <w:rPr>
                <w:rFonts w:asciiTheme="majorHAnsi" w:hAnsiTheme="majorHAnsi" w:cstheme="majorHAnsi"/>
                <w:b/>
                <w:sz w:val="18"/>
                <w:szCs w:val="18"/>
              </w:rPr>
            </w:pPr>
            <w:r w:rsidRPr="00652270">
              <w:rPr>
                <w:rFonts w:asciiTheme="majorHAnsi" w:hAnsiTheme="majorHAnsi" w:cstheme="majorHAnsi"/>
                <w:b/>
                <w:sz w:val="18"/>
                <w:szCs w:val="18"/>
              </w:rPr>
              <w:t>1</w:t>
            </w:r>
          </w:p>
        </w:tc>
      </w:tr>
      <w:tr w:rsidR="0082007E" w:rsidRPr="0061206E" w:rsidTr="00632F96">
        <w:tc>
          <w:tcPr>
            <w:tcW w:w="1491"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757"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3"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4"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10"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6"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402" w:type="dxa"/>
          </w:tcPr>
          <w:p w:rsidR="0082007E" w:rsidRPr="00652270" w:rsidRDefault="0082007E" w:rsidP="00632F96">
            <w:pPr>
              <w:tabs>
                <w:tab w:val="left" w:pos="1134"/>
              </w:tabs>
              <w:rPr>
                <w:rFonts w:asciiTheme="majorHAnsi" w:eastAsia="Calibri" w:hAnsiTheme="majorHAnsi" w:cstheme="majorHAnsi"/>
                <w:b/>
                <w:sz w:val="18"/>
                <w:szCs w:val="18"/>
              </w:rPr>
            </w:pPr>
          </w:p>
        </w:tc>
        <w:tc>
          <w:tcPr>
            <w:tcW w:w="1194" w:type="dxa"/>
          </w:tcPr>
          <w:p w:rsidR="0082007E" w:rsidRPr="00652270" w:rsidRDefault="0082007E" w:rsidP="00632F96">
            <w:pPr>
              <w:tabs>
                <w:tab w:val="left" w:pos="1134"/>
              </w:tabs>
              <w:rPr>
                <w:rFonts w:asciiTheme="majorHAnsi" w:eastAsia="Calibri" w:hAnsiTheme="majorHAnsi" w:cstheme="majorHAnsi"/>
                <w:b/>
                <w:sz w:val="18"/>
                <w:szCs w:val="18"/>
              </w:rPr>
            </w:pPr>
          </w:p>
        </w:tc>
      </w:tr>
    </w:tbl>
    <w:p w:rsidR="0082007E" w:rsidRDefault="0082007E" w:rsidP="0082007E">
      <w:pPr>
        <w:spacing w:line="360" w:lineRule="auto"/>
        <w:rPr>
          <w:rFonts w:ascii="Arial" w:eastAsia="Calibri" w:hAnsi="Arial" w:cs="Arial"/>
          <w:b/>
          <w:sz w:val="24"/>
          <w:szCs w:val="24"/>
        </w:rPr>
      </w:pPr>
      <w:r>
        <w:rPr>
          <w:rFonts w:ascii="Arial" w:eastAsia="Calibri" w:hAnsi="Arial" w:cs="Arial"/>
          <w:b/>
          <w:sz w:val="24"/>
          <w:szCs w:val="24"/>
        </w:rPr>
        <w:t xml:space="preserve">        </w:t>
      </w:r>
    </w:p>
    <w:p w:rsidR="0082007E" w:rsidRPr="00D54F45" w:rsidRDefault="0082007E" w:rsidP="0082007E">
      <w:pPr>
        <w:pStyle w:val="ListParagraph"/>
        <w:numPr>
          <w:ilvl w:val="0"/>
          <w:numId w:val="2"/>
        </w:numPr>
        <w:tabs>
          <w:tab w:val="left" w:pos="1134"/>
        </w:tabs>
        <w:jc w:val="both"/>
        <w:rPr>
          <w:rFonts w:ascii="Arial" w:eastAsia="Calibri" w:hAnsi="Arial" w:cs="Arial"/>
          <w:sz w:val="24"/>
          <w:szCs w:val="24"/>
        </w:rPr>
      </w:pPr>
      <w:r>
        <w:rPr>
          <w:rFonts w:ascii="Arial" w:eastAsia="Calibri" w:hAnsi="Arial" w:cs="Arial"/>
          <w:sz w:val="24"/>
          <w:szCs w:val="24"/>
        </w:rPr>
        <w:t xml:space="preserve">(a) </w:t>
      </w:r>
      <w:r w:rsidRPr="00D54F45">
        <w:rPr>
          <w:rFonts w:ascii="Arial" w:eastAsia="Calibri" w:hAnsi="Arial" w:cs="Arial"/>
          <w:sz w:val="24"/>
          <w:szCs w:val="24"/>
        </w:rPr>
        <w:t xml:space="preserve">35 public servants from </w:t>
      </w:r>
      <w:r>
        <w:rPr>
          <w:rFonts w:ascii="Arial" w:eastAsia="Calibri" w:hAnsi="Arial" w:cs="Arial"/>
          <w:sz w:val="24"/>
          <w:szCs w:val="24"/>
        </w:rPr>
        <w:t>n</w:t>
      </w:r>
      <w:r w:rsidRPr="00D54F45">
        <w:rPr>
          <w:rFonts w:ascii="Arial" w:eastAsia="Calibri" w:hAnsi="Arial" w:cs="Arial"/>
          <w:sz w:val="24"/>
          <w:szCs w:val="24"/>
        </w:rPr>
        <w:t>ationa</w:t>
      </w:r>
      <w:r>
        <w:rPr>
          <w:rFonts w:ascii="Arial" w:eastAsia="Calibri" w:hAnsi="Arial" w:cs="Arial"/>
          <w:sz w:val="24"/>
          <w:szCs w:val="24"/>
        </w:rPr>
        <w:t>l d</w:t>
      </w:r>
      <w:r w:rsidRPr="00D54F45">
        <w:rPr>
          <w:rFonts w:ascii="Arial" w:eastAsia="Calibri" w:hAnsi="Arial" w:cs="Arial"/>
          <w:sz w:val="24"/>
          <w:szCs w:val="24"/>
        </w:rPr>
        <w:t xml:space="preserve">epartments and </w:t>
      </w:r>
      <w:r>
        <w:rPr>
          <w:rFonts w:ascii="Arial" w:eastAsia="Calibri" w:hAnsi="Arial" w:cs="Arial"/>
          <w:sz w:val="24"/>
          <w:szCs w:val="24"/>
        </w:rPr>
        <w:t>126 from provincial d</w:t>
      </w:r>
      <w:r w:rsidRPr="00D54F45">
        <w:rPr>
          <w:rFonts w:ascii="Arial" w:eastAsia="Calibri" w:hAnsi="Arial" w:cs="Arial"/>
          <w:sz w:val="24"/>
          <w:szCs w:val="24"/>
        </w:rPr>
        <w:t xml:space="preserve">epartments </w:t>
      </w:r>
      <w:r>
        <w:rPr>
          <w:rFonts w:ascii="Arial" w:eastAsia="Calibri" w:hAnsi="Arial" w:cs="Arial"/>
          <w:sz w:val="24"/>
          <w:szCs w:val="24"/>
        </w:rPr>
        <w:t>were</w:t>
      </w:r>
      <w:r w:rsidRPr="00D54F45">
        <w:rPr>
          <w:rFonts w:ascii="Arial" w:eastAsia="Calibri" w:hAnsi="Arial" w:cs="Arial"/>
          <w:sz w:val="24"/>
          <w:szCs w:val="24"/>
        </w:rPr>
        <w:t xml:space="preserve"> subjected to disciplinary action</w:t>
      </w:r>
      <w:r>
        <w:rPr>
          <w:rFonts w:ascii="Arial" w:eastAsia="Calibri" w:hAnsi="Arial" w:cs="Arial"/>
          <w:sz w:val="24"/>
          <w:szCs w:val="24"/>
        </w:rPr>
        <w:t xml:space="preserve"> (based on information provided by </w:t>
      </w:r>
      <w:r w:rsidRPr="00D54F45">
        <w:rPr>
          <w:rFonts w:ascii="Arial" w:eastAsia="Calibri" w:hAnsi="Arial" w:cs="Arial"/>
          <w:sz w:val="24"/>
          <w:szCs w:val="24"/>
        </w:rPr>
        <w:t>department</w:t>
      </w:r>
      <w:r>
        <w:rPr>
          <w:rFonts w:ascii="Arial" w:eastAsia="Calibri" w:hAnsi="Arial" w:cs="Arial"/>
          <w:sz w:val="24"/>
          <w:szCs w:val="24"/>
        </w:rPr>
        <w:t>s to the DPSA).</w:t>
      </w:r>
    </w:p>
    <w:p w:rsidR="0082007E" w:rsidRDefault="0082007E" w:rsidP="0082007E">
      <w:pPr>
        <w:pStyle w:val="ListParagraph"/>
        <w:tabs>
          <w:tab w:val="left" w:pos="1134"/>
        </w:tabs>
        <w:ind w:left="1080"/>
        <w:jc w:val="both"/>
        <w:rPr>
          <w:rFonts w:ascii="Arial" w:eastAsia="Calibri" w:hAnsi="Arial" w:cs="Arial"/>
          <w:sz w:val="24"/>
          <w:szCs w:val="24"/>
        </w:rPr>
      </w:pPr>
    </w:p>
    <w:p w:rsidR="0082007E" w:rsidRDefault="0082007E" w:rsidP="0082007E">
      <w:pPr>
        <w:pStyle w:val="ListParagraph"/>
        <w:numPr>
          <w:ilvl w:val="0"/>
          <w:numId w:val="11"/>
        </w:numPr>
        <w:tabs>
          <w:tab w:val="left" w:pos="1134"/>
        </w:tabs>
        <w:jc w:val="both"/>
        <w:rPr>
          <w:rFonts w:ascii="Arial" w:eastAsia="Calibri" w:hAnsi="Arial" w:cs="Arial"/>
          <w:sz w:val="24"/>
          <w:szCs w:val="24"/>
        </w:rPr>
      </w:pPr>
      <w:r>
        <w:rPr>
          <w:rFonts w:ascii="Arial" w:eastAsia="Calibri" w:hAnsi="Arial" w:cs="Arial"/>
          <w:sz w:val="24"/>
          <w:szCs w:val="24"/>
        </w:rPr>
        <w:t>The outcome of the disciplinary action taken in each case with regard to each of the national and provincial departments are as follows</w:t>
      </w:r>
      <w:r>
        <w:rPr>
          <w:rStyle w:val="FootnoteReference"/>
          <w:rFonts w:ascii="Arial" w:eastAsia="Calibri" w:hAnsi="Arial" w:cs="Arial"/>
          <w:sz w:val="24"/>
          <w:szCs w:val="24"/>
        </w:rPr>
        <w:footnoteReference w:id="2"/>
      </w:r>
      <w:r>
        <w:rPr>
          <w:rFonts w:ascii="Arial" w:eastAsia="Calibri" w:hAnsi="Arial" w:cs="Arial"/>
          <w:sz w:val="24"/>
          <w:szCs w:val="24"/>
        </w:rPr>
        <w:t>:</w:t>
      </w:r>
    </w:p>
    <w:p w:rsidR="0082007E" w:rsidRDefault="0082007E" w:rsidP="0082007E">
      <w:pPr>
        <w:pStyle w:val="ListParagraph"/>
        <w:tabs>
          <w:tab w:val="left" w:pos="1134"/>
        </w:tabs>
        <w:ind w:left="1080"/>
        <w:jc w:val="both"/>
        <w:rPr>
          <w:rFonts w:ascii="Arial" w:eastAsia="Calibri" w:hAnsi="Arial" w:cs="Arial"/>
          <w:sz w:val="24"/>
          <w:szCs w:val="24"/>
        </w:rPr>
      </w:pPr>
    </w:p>
    <w:p w:rsidR="0082007E" w:rsidRDefault="0082007E" w:rsidP="0082007E">
      <w:pPr>
        <w:pStyle w:val="ListParagraph"/>
        <w:tabs>
          <w:tab w:val="left" w:pos="1134"/>
        </w:tabs>
        <w:ind w:left="1080"/>
        <w:jc w:val="both"/>
        <w:rPr>
          <w:rFonts w:ascii="Arial" w:eastAsia="Calibri" w:hAnsi="Arial" w:cs="Arial"/>
          <w:sz w:val="24"/>
          <w:szCs w:val="24"/>
        </w:rPr>
      </w:pPr>
      <w:r w:rsidRPr="00D54F45">
        <w:rPr>
          <w:rFonts w:ascii="Arial" w:eastAsia="Calibri" w:hAnsi="Arial" w:cs="Arial"/>
          <w:sz w:val="24"/>
          <w:szCs w:val="24"/>
          <w:u w:val="single"/>
        </w:rPr>
        <w:t>Nationally</w:t>
      </w:r>
      <w:r>
        <w:rPr>
          <w:rFonts w:ascii="Arial" w:eastAsia="Calibri" w:hAnsi="Arial" w:cs="Arial"/>
          <w:sz w:val="24"/>
          <w:szCs w:val="24"/>
        </w:rPr>
        <w:t>:</w:t>
      </w:r>
    </w:p>
    <w:p w:rsidR="0082007E" w:rsidRPr="006A38B3" w:rsidRDefault="0082007E" w:rsidP="0082007E">
      <w:pPr>
        <w:pStyle w:val="ListParagraph"/>
        <w:rPr>
          <w:rFonts w:ascii="Arial" w:eastAsia="Calibri" w:hAnsi="Arial" w:cs="Arial"/>
          <w:sz w:val="24"/>
          <w:szCs w:val="24"/>
        </w:rPr>
      </w:pP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18 final written warnings </w:t>
      </w: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4 one month suspension without pay </w:t>
      </w: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2 two months suspension without pay </w:t>
      </w: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1 deceased </w:t>
      </w:r>
      <w:r w:rsidRPr="006A38B3">
        <w:rPr>
          <w:rFonts w:ascii="Arial" w:eastAsia="Calibri" w:hAnsi="Arial" w:cs="Arial"/>
          <w:sz w:val="24"/>
          <w:szCs w:val="24"/>
        </w:rPr>
        <w:t xml:space="preserve"> </w:t>
      </w: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4 under investigation </w:t>
      </w: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4 not guilty </w:t>
      </w: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1 awaiting the outcome of a hearing </w:t>
      </w:r>
    </w:p>
    <w:p w:rsidR="0082007E" w:rsidRDefault="0082007E" w:rsidP="0082007E">
      <w:pPr>
        <w:pStyle w:val="ListParagraph"/>
        <w:numPr>
          <w:ilvl w:val="0"/>
          <w:numId w:val="9"/>
        </w:numPr>
        <w:tabs>
          <w:tab w:val="left" w:pos="1134"/>
        </w:tabs>
        <w:jc w:val="both"/>
        <w:rPr>
          <w:rFonts w:ascii="Arial" w:eastAsia="Calibri" w:hAnsi="Arial" w:cs="Arial"/>
          <w:sz w:val="24"/>
          <w:szCs w:val="24"/>
        </w:rPr>
      </w:pPr>
      <w:r>
        <w:rPr>
          <w:rFonts w:ascii="Arial" w:eastAsia="Calibri" w:hAnsi="Arial" w:cs="Arial"/>
          <w:sz w:val="24"/>
          <w:szCs w:val="24"/>
        </w:rPr>
        <w:t xml:space="preserve">1 hearing scheduled </w:t>
      </w:r>
    </w:p>
    <w:p w:rsidR="0082007E" w:rsidRDefault="0082007E" w:rsidP="0082007E">
      <w:pPr>
        <w:tabs>
          <w:tab w:val="left" w:pos="1134"/>
        </w:tabs>
        <w:ind w:left="1080"/>
        <w:jc w:val="both"/>
        <w:rPr>
          <w:rFonts w:ascii="Arial" w:eastAsia="Calibri" w:hAnsi="Arial" w:cs="Arial"/>
          <w:sz w:val="24"/>
          <w:szCs w:val="24"/>
        </w:rPr>
      </w:pPr>
    </w:p>
    <w:p w:rsidR="0082007E" w:rsidRDefault="0082007E" w:rsidP="0082007E">
      <w:pPr>
        <w:tabs>
          <w:tab w:val="left" w:pos="1276"/>
        </w:tabs>
        <w:ind w:left="1276"/>
        <w:jc w:val="both"/>
        <w:rPr>
          <w:rFonts w:ascii="Arial" w:eastAsia="Calibri" w:hAnsi="Arial" w:cs="Arial"/>
          <w:sz w:val="24"/>
          <w:szCs w:val="24"/>
        </w:rPr>
      </w:pPr>
      <w:r w:rsidRPr="00D54F45">
        <w:rPr>
          <w:rFonts w:ascii="Arial" w:eastAsia="Calibri" w:hAnsi="Arial" w:cs="Arial"/>
          <w:sz w:val="24"/>
          <w:szCs w:val="24"/>
          <w:u w:val="single"/>
        </w:rPr>
        <w:t>Provinces</w:t>
      </w:r>
      <w:r>
        <w:rPr>
          <w:rFonts w:ascii="Arial" w:eastAsia="Calibri" w:hAnsi="Arial" w:cs="Arial"/>
          <w:sz w:val="24"/>
          <w:szCs w:val="24"/>
        </w:rPr>
        <w:t>:</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1 written warning </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5 final written warning </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1 contract terminated </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2 indicated as in another department </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12 not charging</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28 out of service</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14 letters of intention to charge issued</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2 deceased </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4 not guilty</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33 pending</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8 withdrawn</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4 resignations</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1 dismissal </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2 appointing chairpersons</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8 under investigation </w:t>
      </w:r>
    </w:p>
    <w:p w:rsidR="0082007E" w:rsidRDefault="0082007E" w:rsidP="0082007E">
      <w:pPr>
        <w:pStyle w:val="ListParagraph"/>
        <w:numPr>
          <w:ilvl w:val="0"/>
          <w:numId w:val="10"/>
        </w:numPr>
        <w:tabs>
          <w:tab w:val="left" w:pos="1134"/>
        </w:tabs>
        <w:jc w:val="both"/>
        <w:rPr>
          <w:rFonts w:ascii="Arial" w:eastAsia="Calibri" w:hAnsi="Arial" w:cs="Arial"/>
          <w:sz w:val="24"/>
          <w:szCs w:val="24"/>
        </w:rPr>
      </w:pPr>
      <w:r>
        <w:rPr>
          <w:rFonts w:ascii="Arial" w:eastAsia="Calibri" w:hAnsi="Arial" w:cs="Arial"/>
          <w:sz w:val="24"/>
          <w:szCs w:val="24"/>
        </w:rPr>
        <w:t xml:space="preserve">1 retirement </w:t>
      </w:r>
    </w:p>
    <w:p w:rsidR="0082007E" w:rsidRPr="00141D65" w:rsidRDefault="0082007E" w:rsidP="0082007E">
      <w:pPr>
        <w:pStyle w:val="ListParagraph"/>
        <w:tabs>
          <w:tab w:val="left" w:pos="1134"/>
        </w:tabs>
        <w:ind w:left="1800"/>
        <w:jc w:val="both"/>
        <w:rPr>
          <w:rFonts w:ascii="Arial" w:eastAsia="Calibri" w:hAnsi="Arial" w:cs="Arial"/>
          <w:sz w:val="24"/>
          <w:szCs w:val="24"/>
        </w:rPr>
      </w:pPr>
      <w:r w:rsidRPr="00141D65">
        <w:rPr>
          <w:rFonts w:ascii="Arial" w:eastAsia="Calibri" w:hAnsi="Arial" w:cs="Arial"/>
          <w:sz w:val="24"/>
          <w:szCs w:val="24"/>
        </w:rPr>
        <w:t xml:space="preserve"> </w:t>
      </w:r>
    </w:p>
    <w:p w:rsidR="0082007E" w:rsidRPr="00561772" w:rsidRDefault="0082007E" w:rsidP="0082007E">
      <w:pPr>
        <w:tabs>
          <w:tab w:val="left" w:pos="1560"/>
        </w:tabs>
        <w:spacing w:before="240" w:line="360" w:lineRule="auto"/>
        <w:ind w:left="1560" w:hanging="1276"/>
        <w:jc w:val="both"/>
        <w:rPr>
          <w:rFonts w:ascii="Arial" w:eastAsia="Calibri" w:hAnsi="Arial" w:cs="Arial"/>
          <w:sz w:val="24"/>
          <w:szCs w:val="24"/>
        </w:rPr>
      </w:pPr>
      <w:r w:rsidRPr="00561772">
        <w:rPr>
          <w:rFonts w:ascii="Arial" w:eastAsia="Calibri" w:hAnsi="Arial" w:cs="Arial"/>
          <w:sz w:val="24"/>
          <w:szCs w:val="24"/>
        </w:rPr>
        <w:t xml:space="preserve">          (4)(</w:t>
      </w:r>
      <w:proofErr w:type="gramStart"/>
      <w:r w:rsidRPr="00561772">
        <w:rPr>
          <w:rFonts w:ascii="Arial" w:eastAsia="Calibri" w:hAnsi="Arial" w:cs="Arial"/>
          <w:sz w:val="24"/>
          <w:szCs w:val="24"/>
        </w:rPr>
        <w:t>a</w:t>
      </w:r>
      <w:proofErr w:type="gramEnd"/>
      <w:r w:rsidRPr="00561772">
        <w:rPr>
          <w:rFonts w:ascii="Arial" w:eastAsia="Calibri" w:hAnsi="Arial" w:cs="Arial"/>
          <w:sz w:val="24"/>
          <w:szCs w:val="24"/>
        </w:rPr>
        <w:t>)</w:t>
      </w:r>
      <w:r>
        <w:rPr>
          <w:rFonts w:ascii="Arial" w:eastAsia="Calibri" w:hAnsi="Arial" w:cs="Arial"/>
          <w:sz w:val="24"/>
          <w:szCs w:val="24"/>
        </w:rPr>
        <w:tab/>
      </w:r>
      <w:r w:rsidRPr="00561772">
        <w:rPr>
          <w:rFonts w:ascii="Arial" w:eastAsia="Calibri" w:hAnsi="Arial" w:cs="Arial"/>
          <w:sz w:val="24"/>
          <w:szCs w:val="24"/>
        </w:rPr>
        <w:t>Six</w:t>
      </w:r>
      <w:r>
        <w:rPr>
          <w:rFonts w:ascii="Arial" w:eastAsia="Calibri" w:hAnsi="Arial" w:cs="Arial"/>
          <w:sz w:val="24"/>
          <w:szCs w:val="24"/>
        </w:rPr>
        <w:t xml:space="preserve"> (06)</w:t>
      </w:r>
      <w:r w:rsidRPr="00561772">
        <w:rPr>
          <w:rFonts w:ascii="Arial" w:eastAsia="Calibri" w:hAnsi="Arial" w:cs="Arial"/>
          <w:sz w:val="24"/>
          <w:szCs w:val="24"/>
        </w:rPr>
        <w:t xml:space="preserve"> public servants are currently being investigated by the </w:t>
      </w:r>
      <w:r>
        <w:rPr>
          <w:rFonts w:ascii="Arial" w:eastAsia="Calibri" w:hAnsi="Arial" w:cs="Arial"/>
          <w:sz w:val="24"/>
          <w:szCs w:val="24"/>
        </w:rPr>
        <w:t xml:space="preserve">South African </w:t>
      </w:r>
      <w:r w:rsidRPr="00561772">
        <w:rPr>
          <w:rFonts w:ascii="Arial" w:eastAsia="Calibri" w:hAnsi="Arial" w:cs="Arial"/>
          <w:sz w:val="24"/>
          <w:szCs w:val="24"/>
        </w:rPr>
        <w:t>Police</w:t>
      </w:r>
      <w:r>
        <w:rPr>
          <w:rFonts w:ascii="Arial" w:eastAsia="Calibri" w:hAnsi="Arial" w:cs="Arial"/>
          <w:sz w:val="24"/>
          <w:szCs w:val="24"/>
        </w:rPr>
        <w:t xml:space="preserve"> Service (SAPS)</w:t>
      </w:r>
      <w:r w:rsidRPr="00561772">
        <w:rPr>
          <w:rFonts w:ascii="Arial" w:eastAsia="Calibri" w:hAnsi="Arial" w:cs="Arial"/>
          <w:sz w:val="24"/>
          <w:szCs w:val="24"/>
        </w:rPr>
        <w:t xml:space="preserve"> for conducting business with the State</w:t>
      </w:r>
      <w:r>
        <w:rPr>
          <w:rStyle w:val="FootnoteReference"/>
          <w:rFonts w:ascii="Arial" w:eastAsia="Calibri" w:hAnsi="Arial" w:cs="Arial"/>
          <w:sz w:val="24"/>
          <w:szCs w:val="24"/>
        </w:rPr>
        <w:footnoteReference w:id="3"/>
      </w:r>
      <w:r>
        <w:rPr>
          <w:rFonts w:ascii="Arial" w:eastAsia="Calibri" w:hAnsi="Arial" w:cs="Arial"/>
          <w:sz w:val="24"/>
          <w:szCs w:val="24"/>
        </w:rPr>
        <w:t>.</w:t>
      </w:r>
    </w:p>
    <w:p w:rsidR="0082007E" w:rsidRPr="00561772" w:rsidRDefault="0082007E" w:rsidP="0082007E">
      <w:pPr>
        <w:tabs>
          <w:tab w:val="left" w:pos="0"/>
        </w:tabs>
        <w:spacing w:before="240" w:line="360" w:lineRule="auto"/>
        <w:jc w:val="both"/>
        <w:rPr>
          <w:rFonts w:ascii="Arial" w:eastAsia="Calibri" w:hAnsi="Arial" w:cs="Arial"/>
          <w:sz w:val="24"/>
          <w:szCs w:val="24"/>
        </w:rPr>
      </w:pPr>
      <w:r w:rsidRPr="00561772">
        <w:rPr>
          <w:rFonts w:ascii="Arial" w:eastAsia="Calibri" w:hAnsi="Arial" w:cs="Arial"/>
          <w:sz w:val="24"/>
          <w:szCs w:val="24"/>
        </w:rPr>
        <w:t xml:space="preserve">              </w:t>
      </w:r>
      <w:r>
        <w:rPr>
          <w:rFonts w:ascii="Arial" w:eastAsia="Calibri" w:hAnsi="Arial" w:cs="Arial"/>
          <w:sz w:val="24"/>
          <w:szCs w:val="24"/>
        </w:rPr>
        <w:t xml:space="preserve">     </w:t>
      </w:r>
      <w:r w:rsidRPr="00561772">
        <w:rPr>
          <w:rFonts w:ascii="Arial" w:eastAsia="Calibri" w:hAnsi="Arial" w:cs="Arial"/>
          <w:sz w:val="24"/>
          <w:szCs w:val="24"/>
        </w:rPr>
        <w:t>(b) Status of investigation</w:t>
      </w:r>
      <w:r>
        <w:rPr>
          <w:rFonts w:ascii="Arial" w:eastAsia="Calibri" w:hAnsi="Arial" w:cs="Arial"/>
          <w:sz w:val="24"/>
          <w:szCs w:val="24"/>
        </w:rPr>
        <w:t>s</w:t>
      </w:r>
      <w:r w:rsidRPr="00561772">
        <w:rPr>
          <w:rFonts w:ascii="Arial" w:eastAsia="Calibri" w:hAnsi="Arial" w:cs="Arial"/>
          <w:sz w:val="24"/>
          <w:szCs w:val="24"/>
        </w:rPr>
        <w:t>:</w:t>
      </w:r>
    </w:p>
    <w:p w:rsidR="0082007E" w:rsidRPr="00561772" w:rsidRDefault="0082007E" w:rsidP="0082007E">
      <w:pPr>
        <w:pStyle w:val="ListParagraph"/>
        <w:numPr>
          <w:ilvl w:val="0"/>
          <w:numId w:val="1"/>
        </w:numPr>
        <w:tabs>
          <w:tab w:val="left" w:pos="709"/>
          <w:tab w:val="left" w:pos="1767"/>
        </w:tabs>
        <w:spacing w:before="240" w:line="360" w:lineRule="auto"/>
        <w:ind w:left="2127"/>
        <w:jc w:val="both"/>
        <w:rPr>
          <w:rFonts w:ascii="Arial" w:eastAsia="Calibri" w:hAnsi="Arial" w:cs="Arial"/>
          <w:sz w:val="24"/>
          <w:szCs w:val="24"/>
        </w:rPr>
      </w:pPr>
      <w:r>
        <w:rPr>
          <w:rFonts w:ascii="Arial" w:eastAsia="Calibri" w:hAnsi="Arial" w:cs="Arial"/>
          <w:sz w:val="24"/>
          <w:szCs w:val="24"/>
        </w:rPr>
        <w:t xml:space="preserve">One (1) case - </w:t>
      </w:r>
      <w:r w:rsidRPr="00561772">
        <w:rPr>
          <w:rFonts w:ascii="Arial" w:eastAsia="Calibri" w:hAnsi="Arial" w:cs="Arial"/>
          <w:sz w:val="24"/>
          <w:szCs w:val="24"/>
        </w:rPr>
        <w:t>1</w:t>
      </w:r>
      <w:r w:rsidRPr="00561772">
        <w:rPr>
          <w:rFonts w:ascii="Arial" w:eastAsia="Calibri" w:hAnsi="Arial" w:cs="Arial"/>
          <w:sz w:val="24"/>
          <w:szCs w:val="24"/>
          <w:vertAlign w:val="superscript"/>
        </w:rPr>
        <w:t>st</w:t>
      </w:r>
      <w:r w:rsidRPr="00561772">
        <w:rPr>
          <w:rFonts w:ascii="Arial" w:eastAsia="Calibri" w:hAnsi="Arial" w:cs="Arial"/>
          <w:sz w:val="24"/>
          <w:szCs w:val="24"/>
        </w:rPr>
        <w:t xml:space="preserve"> court appearance </w:t>
      </w:r>
      <w:r>
        <w:rPr>
          <w:rFonts w:ascii="Arial" w:eastAsia="Calibri" w:hAnsi="Arial" w:cs="Arial"/>
          <w:sz w:val="24"/>
          <w:szCs w:val="24"/>
        </w:rPr>
        <w:t xml:space="preserve">will be held </w:t>
      </w:r>
      <w:r w:rsidRPr="00561772">
        <w:rPr>
          <w:rFonts w:ascii="Arial" w:eastAsia="Calibri" w:hAnsi="Arial" w:cs="Arial"/>
          <w:sz w:val="24"/>
          <w:szCs w:val="24"/>
        </w:rPr>
        <w:t>on 24 November 2022</w:t>
      </w:r>
      <w:r>
        <w:rPr>
          <w:rFonts w:ascii="Arial" w:eastAsia="Calibri" w:hAnsi="Arial" w:cs="Arial"/>
          <w:sz w:val="24"/>
          <w:szCs w:val="24"/>
        </w:rPr>
        <w:t>.</w:t>
      </w:r>
    </w:p>
    <w:p w:rsidR="0082007E" w:rsidRPr="00992F9A" w:rsidRDefault="0082007E" w:rsidP="0082007E">
      <w:pPr>
        <w:pStyle w:val="ListParagraph"/>
        <w:numPr>
          <w:ilvl w:val="0"/>
          <w:numId w:val="1"/>
        </w:numPr>
        <w:tabs>
          <w:tab w:val="left" w:pos="709"/>
        </w:tabs>
        <w:spacing w:before="240" w:line="360" w:lineRule="auto"/>
        <w:ind w:left="2127"/>
        <w:jc w:val="both"/>
        <w:rPr>
          <w:rFonts w:ascii="Arial" w:eastAsia="Calibri" w:hAnsi="Arial" w:cs="Arial"/>
          <w:sz w:val="24"/>
          <w:szCs w:val="24"/>
        </w:rPr>
      </w:pPr>
      <w:r w:rsidRPr="00992F9A">
        <w:rPr>
          <w:rFonts w:ascii="Arial" w:eastAsia="Calibri" w:hAnsi="Arial" w:cs="Arial"/>
          <w:sz w:val="24"/>
          <w:szCs w:val="24"/>
        </w:rPr>
        <w:t xml:space="preserve">Two </w:t>
      </w:r>
      <w:r>
        <w:rPr>
          <w:rFonts w:ascii="Arial" w:eastAsia="Calibri" w:hAnsi="Arial" w:cs="Arial"/>
          <w:sz w:val="24"/>
          <w:szCs w:val="24"/>
        </w:rPr>
        <w:t xml:space="preserve">(2) </w:t>
      </w:r>
      <w:r w:rsidRPr="00992F9A">
        <w:rPr>
          <w:rFonts w:ascii="Arial" w:eastAsia="Calibri" w:hAnsi="Arial" w:cs="Arial"/>
          <w:sz w:val="24"/>
          <w:szCs w:val="24"/>
        </w:rPr>
        <w:t xml:space="preserve">cases were postponed to 18 November 2022 </w:t>
      </w:r>
      <w:r>
        <w:rPr>
          <w:rFonts w:ascii="Arial" w:eastAsia="Calibri" w:hAnsi="Arial" w:cs="Arial"/>
          <w:sz w:val="24"/>
          <w:szCs w:val="24"/>
        </w:rPr>
        <w:t>and 16 January 2023, respectively.</w:t>
      </w:r>
    </w:p>
    <w:p w:rsidR="0082007E" w:rsidRPr="00561772" w:rsidRDefault="0082007E" w:rsidP="0082007E">
      <w:pPr>
        <w:pStyle w:val="ListParagraph"/>
        <w:numPr>
          <w:ilvl w:val="0"/>
          <w:numId w:val="1"/>
        </w:numPr>
        <w:tabs>
          <w:tab w:val="left" w:pos="709"/>
        </w:tabs>
        <w:spacing w:before="240" w:line="360" w:lineRule="auto"/>
        <w:ind w:left="2127"/>
        <w:jc w:val="both"/>
        <w:rPr>
          <w:rFonts w:ascii="Arial" w:eastAsia="Calibri" w:hAnsi="Arial" w:cs="Arial"/>
          <w:sz w:val="24"/>
          <w:szCs w:val="24"/>
        </w:rPr>
      </w:pPr>
      <w:r>
        <w:rPr>
          <w:rFonts w:ascii="Arial" w:eastAsia="Calibri" w:hAnsi="Arial" w:cs="Arial"/>
          <w:sz w:val="24"/>
          <w:szCs w:val="24"/>
        </w:rPr>
        <w:t>One</w:t>
      </w:r>
      <w:r w:rsidRPr="00561772">
        <w:rPr>
          <w:rFonts w:ascii="Arial" w:eastAsia="Calibri" w:hAnsi="Arial" w:cs="Arial"/>
          <w:sz w:val="24"/>
          <w:szCs w:val="24"/>
        </w:rPr>
        <w:t xml:space="preserve"> </w:t>
      </w:r>
      <w:r>
        <w:rPr>
          <w:rFonts w:ascii="Arial" w:eastAsia="Calibri" w:hAnsi="Arial" w:cs="Arial"/>
          <w:sz w:val="24"/>
          <w:szCs w:val="24"/>
        </w:rPr>
        <w:t xml:space="preserve">(1) case is with the </w:t>
      </w:r>
      <w:r w:rsidRPr="00561772">
        <w:rPr>
          <w:rFonts w:ascii="Arial" w:eastAsia="Calibri" w:hAnsi="Arial" w:cs="Arial"/>
          <w:sz w:val="24"/>
          <w:szCs w:val="24"/>
        </w:rPr>
        <w:t>D</w:t>
      </w:r>
      <w:r>
        <w:rPr>
          <w:rFonts w:ascii="Arial" w:eastAsia="Calibri" w:hAnsi="Arial" w:cs="Arial"/>
          <w:sz w:val="24"/>
          <w:szCs w:val="24"/>
        </w:rPr>
        <w:t xml:space="preserve">irector for </w:t>
      </w:r>
      <w:r w:rsidRPr="00561772">
        <w:rPr>
          <w:rFonts w:ascii="Arial" w:eastAsia="Calibri" w:hAnsi="Arial" w:cs="Arial"/>
          <w:sz w:val="24"/>
          <w:szCs w:val="24"/>
        </w:rPr>
        <w:t>P</w:t>
      </w:r>
      <w:r>
        <w:rPr>
          <w:rFonts w:ascii="Arial" w:eastAsia="Calibri" w:hAnsi="Arial" w:cs="Arial"/>
          <w:sz w:val="24"/>
          <w:szCs w:val="24"/>
        </w:rPr>
        <w:t xml:space="preserve">ublic </w:t>
      </w:r>
      <w:r w:rsidRPr="00561772">
        <w:rPr>
          <w:rFonts w:ascii="Arial" w:eastAsia="Calibri" w:hAnsi="Arial" w:cs="Arial"/>
          <w:sz w:val="24"/>
          <w:szCs w:val="24"/>
        </w:rPr>
        <w:t>P</w:t>
      </w:r>
      <w:r>
        <w:rPr>
          <w:rFonts w:ascii="Arial" w:eastAsia="Calibri" w:hAnsi="Arial" w:cs="Arial"/>
          <w:sz w:val="24"/>
          <w:szCs w:val="24"/>
        </w:rPr>
        <w:t>rosecutions</w:t>
      </w:r>
      <w:r w:rsidRPr="00561772">
        <w:rPr>
          <w:rFonts w:ascii="Arial" w:eastAsia="Calibri" w:hAnsi="Arial" w:cs="Arial"/>
          <w:sz w:val="24"/>
          <w:szCs w:val="24"/>
        </w:rPr>
        <w:t xml:space="preserve"> for decision</w:t>
      </w:r>
      <w:r>
        <w:rPr>
          <w:rFonts w:ascii="Arial" w:eastAsia="Calibri" w:hAnsi="Arial" w:cs="Arial"/>
          <w:sz w:val="24"/>
          <w:szCs w:val="24"/>
        </w:rPr>
        <w:t>.</w:t>
      </w:r>
    </w:p>
    <w:p w:rsidR="0082007E" w:rsidRPr="00561772" w:rsidRDefault="0082007E" w:rsidP="0082007E">
      <w:pPr>
        <w:pStyle w:val="ListParagraph"/>
        <w:numPr>
          <w:ilvl w:val="0"/>
          <w:numId w:val="1"/>
        </w:numPr>
        <w:tabs>
          <w:tab w:val="left" w:pos="709"/>
        </w:tabs>
        <w:spacing w:before="240" w:line="360" w:lineRule="auto"/>
        <w:ind w:left="2127"/>
        <w:rPr>
          <w:rFonts w:ascii="Arial" w:eastAsia="Calibri" w:hAnsi="Arial" w:cs="Arial"/>
          <w:sz w:val="24"/>
          <w:szCs w:val="24"/>
        </w:rPr>
      </w:pPr>
      <w:r>
        <w:rPr>
          <w:rFonts w:ascii="Arial" w:eastAsia="Calibri" w:hAnsi="Arial" w:cs="Arial"/>
          <w:sz w:val="24"/>
          <w:szCs w:val="24"/>
        </w:rPr>
        <w:t>In two (2) cases, i</w:t>
      </w:r>
      <w:r w:rsidRPr="00561772">
        <w:rPr>
          <w:rFonts w:ascii="Arial" w:eastAsia="Calibri" w:hAnsi="Arial" w:cs="Arial"/>
          <w:sz w:val="24"/>
          <w:szCs w:val="24"/>
        </w:rPr>
        <w:t xml:space="preserve">nvestigating </w:t>
      </w:r>
      <w:r>
        <w:rPr>
          <w:rFonts w:ascii="Arial" w:eastAsia="Calibri" w:hAnsi="Arial" w:cs="Arial"/>
          <w:sz w:val="24"/>
          <w:szCs w:val="24"/>
        </w:rPr>
        <w:t>o</w:t>
      </w:r>
      <w:r w:rsidRPr="00561772">
        <w:rPr>
          <w:rFonts w:ascii="Arial" w:eastAsia="Calibri" w:hAnsi="Arial" w:cs="Arial"/>
          <w:sz w:val="24"/>
          <w:szCs w:val="24"/>
        </w:rPr>
        <w:t>fficer</w:t>
      </w:r>
      <w:r>
        <w:rPr>
          <w:rFonts w:ascii="Arial" w:eastAsia="Calibri" w:hAnsi="Arial" w:cs="Arial"/>
          <w:sz w:val="24"/>
          <w:szCs w:val="24"/>
        </w:rPr>
        <w:t>s were tasked to source more information as per the</w:t>
      </w:r>
      <w:r w:rsidRPr="00561772">
        <w:rPr>
          <w:rFonts w:ascii="Arial" w:eastAsia="Calibri" w:hAnsi="Arial" w:cs="Arial"/>
          <w:sz w:val="24"/>
          <w:szCs w:val="24"/>
        </w:rPr>
        <w:t xml:space="preserve"> Court</w:t>
      </w:r>
      <w:r>
        <w:rPr>
          <w:rFonts w:ascii="Arial" w:eastAsia="Calibri" w:hAnsi="Arial" w:cs="Arial"/>
          <w:sz w:val="24"/>
          <w:szCs w:val="24"/>
        </w:rPr>
        <w:t>.</w:t>
      </w:r>
    </w:p>
    <w:p w:rsidR="0082007E" w:rsidRDefault="0082007E" w:rsidP="0082007E">
      <w:pPr>
        <w:spacing w:after="0" w:line="240" w:lineRule="auto"/>
        <w:rPr>
          <w:rFonts w:ascii="Arial" w:eastAsia="Arial" w:hAnsi="Arial" w:cs="Arial"/>
          <w:b/>
          <w:sz w:val="24"/>
          <w:szCs w:val="24"/>
        </w:rPr>
      </w:pPr>
    </w:p>
    <w:p w:rsidR="00171970" w:rsidRPr="0082007E" w:rsidRDefault="0082007E" w:rsidP="0082007E">
      <w:pPr>
        <w:spacing w:line="360" w:lineRule="auto"/>
        <w:ind w:left="1418" w:hanging="425"/>
        <w:rPr>
          <w:rFonts w:ascii="Arial" w:eastAsia="Arial" w:hAnsi="Arial" w:cs="Arial"/>
          <w:sz w:val="24"/>
          <w:szCs w:val="24"/>
        </w:rPr>
      </w:pPr>
      <w:r w:rsidRPr="00266F17">
        <w:rPr>
          <w:rFonts w:ascii="Arial" w:eastAsia="Arial" w:hAnsi="Arial" w:cs="Arial"/>
          <w:sz w:val="24"/>
          <w:szCs w:val="24"/>
        </w:rPr>
        <w:t>(5)</w:t>
      </w:r>
      <w:r>
        <w:rPr>
          <w:rFonts w:ascii="Arial" w:eastAsia="Arial" w:hAnsi="Arial" w:cs="Arial"/>
          <w:sz w:val="24"/>
          <w:szCs w:val="24"/>
        </w:rPr>
        <w:t xml:space="preserve"> </w:t>
      </w:r>
      <w:r>
        <w:rPr>
          <w:rFonts w:ascii="Arial" w:eastAsia="Arial" w:hAnsi="Arial" w:cs="Arial"/>
          <w:sz w:val="24"/>
          <w:szCs w:val="24"/>
        </w:rPr>
        <w:tab/>
        <w:t xml:space="preserve"> A total of seven (07) public servants have been convicted for conducting business with the State as at the latest date. One of the employees were convicted on two </w:t>
      </w:r>
      <w:bookmarkStart w:id="0" w:name="_GoBack"/>
      <w:bookmarkEnd w:id="0"/>
      <w:r>
        <w:rPr>
          <w:rFonts w:ascii="Arial" w:eastAsia="Arial" w:hAnsi="Arial" w:cs="Arial"/>
          <w:sz w:val="24"/>
          <w:szCs w:val="24"/>
        </w:rPr>
        <w:t>separate cases</w:t>
      </w:r>
      <w:r>
        <w:rPr>
          <w:rStyle w:val="FootnoteReference"/>
          <w:rFonts w:ascii="Arial" w:eastAsia="Arial" w:hAnsi="Arial" w:cs="Arial"/>
          <w:sz w:val="24"/>
          <w:szCs w:val="24"/>
        </w:rPr>
        <w:footnoteReference w:id="4"/>
      </w:r>
      <w:r>
        <w:rPr>
          <w:rFonts w:ascii="Arial" w:eastAsia="Arial" w:hAnsi="Arial" w:cs="Arial"/>
          <w:sz w:val="24"/>
          <w:szCs w:val="24"/>
        </w:rPr>
        <w:t xml:space="preserve">. </w:t>
      </w:r>
    </w:p>
    <w:sectPr w:rsidR="00171970" w:rsidRPr="0082007E" w:rsidSect="00531F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74" w:rsidRDefault="00155A74" w:rsidP="0082007E">
      <w:pPr>
        <w:spacing w:after="0" w:line="240" w:lineRule="auto"/>
      </w:pPr>
      <w:r>
        <w:separator/>
      </w:r>
    </w:p>
  </w:endnote>
  <w:endnote w:type="continuationSeparator" w:id="0">
    <w:p w:rsidR="00155A74" w:rsidRDefault="00155A74" w:rsidP="00820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74" w:rsidRDefault="00155A74" w:rsidP="0082007E">
      <w:pPr>
        <w:spacing w:after="0" w:line="240" w:lineRule="auto"/>
      </w:pPr>
      <w:r>
        <w:separator/>
      </w:r>
    </w:p>
  </w:footnote>
  <w:footnote w:type="continuationSeparator" w:id="0">
    <w:p w:rsidR="00155A74" w:rsidRDefault="00155A74" w:rsidP="0082007E">
      <w:pPr>
        <w:spacing w:after="0" w:line="240" w:lineRule="auto"/>
      </w:pPr>
      <w:r>
        <w:continuationSeparator/>
      </w:r>
    </w:p>
  </w:footnote>
  <w:footnote w:id="1">
    <w:p w:rsidR="0082007E" w:rsidRDefault="0082007E" w:rsidP="0082007E">
      <w:pPr>
        <w:pStyle w:val="FootnoteText"/>
      </w:pPr>
      <w:r>
        <w:rPr>
          <w:rStyle w:val="FootnoteReference"/>
        </w:rPr>
        <w:footnoteRef/>
      </w:r>
      <w:r>
        <w:t xml:space="preserve"> Information obtained by matching PERSAL and the Central Supplier Database.</w:t>
      </w:r>
    </w:p>
  </w:footnote>
  <w:footnote w:id="2">
    <w:p w:rsidR="0082007E" w:rsidRDefault="0082007E" w:rsidP="0082007E">
      <w:pPr>
        <w:pStyle w:val="FootnoteText"/>
      </w:pPr>
      <w:r>
        <w:rPr>
          <w:rStyle w:val="FootnoteReference"/>
        </w:rPr>
        <w:footnoteRef/>
      </w:r>
      <w:r>
        <w:t xml:space="preserve"> Information were provided to the DPSA by the implicated departments.</w:t>
      </w:r>
    </w:p>
  </w:footnote>
  <w:footnote w:id="3">
    <w:p w:rsidR="0082007E" w:rsidRDefault="0082007E" w:rsidP="0082007E">
      <w:pPr>
        <w:pStyle w:val="FootnoteText"/>
      </w:pPr>
      <w:r>
        <w:rPr>
          <w:rStyle w:val="FootnoteReference"/>
        </w:rPr>
        <w:footnoteRef/>
      </w:r>
      <w:r>
        <w:t xml:space="preserve"> Information provided to the DPSA by the SAPS.</w:t>
      </w:r>
    </w:p>
  </w:footnote>
  <w:footnote w:id="4">
    <w:p w:rsidR="0082007E" w:rsidRDefault="0082007E" w:rsidP="0082007E">
      <w:pPr>
        <w:pStyle w:val="FootnoteText"/>
      </w:pPr>
      <w:r>
        <w:rPr>
          <w:rStyle w:val="FootnoteReference"/>
        </w:rPr>
        <w:footnoteRef/>
      </w:r>
      <w:r>
        <w:t xml:space="preserve"> The information was provided to the DPSA by the National Prosecuting Authority.</w:t>
      </w:r>
    </w:p>
    <w:p w:rsidR="0082007E" w:rsidRPr="0082007E" w:rsidRDefault="0082007E" w:rsidP="0082007E">
      <w:pPr>
        <w:pStyle w:val="FootnoteText"/>
        <w:rPr>
          <w:rFonts w:ascii="Arial" w:hAnsi="Arial" w:cs="Arial"/>
          <w:sz w:val="24"/>
          <w:szCs w:val="24"/>
        </w:rPr>
      </w:pPr>
      <w:r w:rsidRPr="0082007E">
        <w:rPr>
          <w:rFonts w:ascii="Arial" w:hAnsi="Arial" w:cs="Arial"/>
          <w:sz w:val="24"/>
          <w:szCs w:val="24"/>
        </w:rPr>
        <w:t xml:space="preserve">End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17"/>
    <w:multiLevelType w:val="hybridMultilevel"/>
    <w:tmpl w:val="9A22ACC2"/>
    <w:lvl w:ilvl="0" w:tplc="2B0833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83D65"/>
    <w:multiLevelType w:val="hybridMultilevel"/>
    <w:tmpl w:val="F468FFD0"/>
    <w:lvl w:ilvl="0" w:tplc="1C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451F3"/>
    <w:multiLevelType w:val="hybridMultilevel"/>
    <w:tmpl w:val="C2DADA9A"/>
    <w:lvl w:ilvl="0" w:tplc="C4C8A670">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BDA417B"/>
    <w:multiLevelType w:val="hybridMultilevel"/>
    <w:tmpl w:val="9D7055E0"/>
    <w:lvl w:ilvl="0" w:tplc="4022CD2E">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027722"/>
    <w:multiLevelType w:val="hybridMultilevel"/>
    <w:tmpl w:val="447A553A"/>
    <w:lvl w:ilvl="0" w:tplc="1C090001">
      <w:start w:val="1"/>
      <w:numFmt w:val="bullet"/>
      <w:lvlText w:val=""/>
      <w:lvlJc w:val="left"/>
      <w:pPr>
        <w:ind w:left="2325" w:hanging="360"/>
      </w:pPr>
      <w:rPr>
        <w:rFonts w:ascii="Symbol" w:hAnsi="Symbol" w:hint="default"/>
      </w:rPr>
    </w:lvl>
    <w:lvl w:ilvl="1" w:tplc="1C090003" w:tentative="1">
      <w:start w:val="1"/>
      <w:numFmt w:val="bullet"/>
      <w:lvlText w:val="o"/>
      <w:lvlJc w:val="left"/>
      <w:pPr>
        <w:ind w:left="3045" w:hanging="360"/>
      </w:pPr>
      <w:rPr>
        <w:rFonts w:ascii="Courier New" w:hAnsi="Courier New" w:cs="Courier New" w:hint="default"/>
      </w:rPr>
    </w:lvl>
    <w:lvl w:ilvl="2" w:tplc="1C090005" w:tentative="1">
      <w:start w:val="1"/>
      <w:numFmt w:val="bullet"/>
      <w:lvlText w:val=""/>
      <w:lvlJc w:val="left"/>
      <w:pPr>
        <w:ind w:left="3765" w:hanging="360"/>
      </w:pPr>
      <w:rPr>
        <w:rFonts w:ascii="Wingdings" w:hAnsi="Wingdings" w:hint="default"/>
      </w:rPr>
    </w:lvl>
    <w:lvl w:ilvl="3" w:tplc="1C090001" w:tentative="1">
      <w:start w:val="1"/>
      <w:numFmt w:val="bullet"/>
      <w:lvlText w:val=""/>
      <w:lvlJc w:val="left"/>
      <w:pPr>
        <w:ind w:left="4485" w:hanging="360"/>
      </w:pPr>
      <w:rPr>
        <w:rFonts w:ascii="Symbol" w:hAnsi="Symbol" w:hint="default"/>
      </w:rPr>
    </w:lvl>
    <w:lvl w:ilvl="4" w:tplc="1C090003" w:tentative="1">
      <w:start w:val="1"/>
      <w:numFmt w:val="bullet"/>
      <w:lvlText w:val="o"/>
      <w:lvlJc w:val="left"/>
      <w:pPr>
        <w:ind w:left="5205" w:hanging="360"/>
      </w:pPr>
      <w:rPr>
        <w:rFonts w:ascii="Courier New" w:hAnsi="Courier New" w:cs="Courier New" w:hint="default"/>
      </w:rPr>
    </w:lvl>
    <w:lvl w:ilvl="5" w:tplc="1C090005" w:tentative="1">
      <w:start w:val="1"/>
      <w:numFmt w:val="bullet"/>
      <w:lvlText w:val=""/>
      <w:lvlJc w:val="left"/>
      <w:pPr>
        <w:ind w:left="5925" w:hanging="360"/>
      </w:pPr>
      <w:rPr>
        <w:rFonts w:ascii="Wingdings" w:hAnsi="Wingdings" w:hint="default"/>
      </w:rPr>
    </w:lvl>
    <w:lvl w:ilvl="6" w:tplc="1C090001" w:tentative="1">
      <w:start w:val="1"/>
      <w:numFmt w:val="bullet"/>
      <w:lvlText w:val=""/>
      <w:lvlJc w:val="left"/>
      <w:pPr>
        <w:ind w:left="6645" w:hanging="360"/>
      </w:pPr>
      <w:rPr>
        <w:rFonts w:ascii="Symbol" w:hAnsi="Symbol" w:hint="default"/>
      </w:rPr>
    </w:lvl>
    <w:lvl w:ilvl="7" w:tplc="1C090003" w:tentative="1">
      <w:start w:val="1"/>
      <w:numFmt w:val="bullet"/>
      <w:lvlText w:val="o"/>
      <w:lvlJc w:val="left"/>
      <w:pPr>
        <w:ind w:left="7365" w:hanging="360"/>
      </w:pPr>
      <w:rPr>
        <w:rFonts w:ascii="Courier New" w:hAnsi="Courier New" w:cs="Courier New" w:hint="default"/>
      </w:rPr>
    </w:lvl>
    <w:lvl w:ilvl="8" w:tplc="1C090005" w:tentative="1">
      <w:start w:val="1"/>
      <w:numFmt w:val="bullet"/>
      <w:lvlText w:val=""/>
      <w:lvlJc w:val="left"/>
      <w:pPr>
        <w:ind w:left="8085" w:hanging="360"/>
      </w:pPr>
      <w:rPr>
        <w:rFonts w:ascii="Wingdings" w:hAnsi="Wingdings" w:hint="default"/>
      </w:rPr>
    </w:lvl>
  </w:abstractNum>
  <w:abstractNum w:abstractNumId="5">
    <w:nsid w:val="231E66A6"/>
    <w:multiLevelType w:val="hybridMultilevel"/>
    <w:tmpl w:val="60A622F2"/>
    <w:lvl w:ilvl="0" w:tplc="1C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1B079B"/>
    <w:multiLevelType w:val="hybridMultilevel"/>
    <w:tmpl w:val="AE1866E6"/>
    <w:lvl w:ilvl="0" w:tplc="74E2A5A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2664028"/>
    <w:multiLevelType w:val="hybridMultilevel"/>
    <w:tmpl w:val="9AC6092C"/>
    <w:lvl w:ilvl="0" w:tplc="7DC45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BE5623"/>
    <w:multiLevelType w:val="hybridMultilevel"/>
    <w:tmpl w:val="2A2435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5921670"/>
    <w:multiLevelType w:val="hybridMultilevel"/>
    <w:tmpl w:val="04B034CA"/>
    <w:lvl w:ilvl="0" w:tplc="4022CD2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6DE4094"/>
    <w:multiLevelType w:val="hybridMultilevel"/>
    <w:tmpl w:val="3AA2E77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0B02F4"/>
    <w:multiLevelType w:val="hybridMultilevel"/>
    <w:tmpl w:val="6D20CC96"/>
    <w:lvl w:ilvl="0" w:tplc="C64855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2"/>
  </w:num>
  <w:num w:numId="4">
    <w:abstractNumId w:val="7"/>
  </w:num>
  <w:num w:numId="5">
    <w:abstractNumId w:val="0"/>
  </w:num>
  <w:num w:numId="6">
    <w:abstractNumId w:val="11"/>
  </w:num>
  <w:num w:numId="7">
    <w:abstractNumId w:val="8"/>
  </w:num>
  <w:num w:numId="8">
    <w:abstractNumId w:val="10"/>
  </w:num>
  <w:num w:numId="9">
    <w:abstractNumId w:val="5"/>
  </w:num>
  <w:num w:numId="10">
    <w:abstractNumId w:val="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2007E"/>
    <w:rsid w:val="00155A74"/>
    <w:rsid w:val="001D0BAA"/>
    <w:rsid w:val="00531FA4"/>
    <w:rsid w:val="008012A3"/>
    <w:rsid w:val="0082007E"/>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2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7E"/>
  </w:style>
  <w:style w:type="paragraph" w:styleId="Header">
    <w:name w:val="header"/>
    <w:basedOn w:val="Normal"/>
    <w:link w:val="HeaderChar"/>
    <w:uiPriority w:val="99"/>
    <w:unhideWhenUsed/>
    <w:rsid w:val="0082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7E"/>
  </w:style>
  <w:style w:type="paragraph" w:styleId="ListParagraph">
    <w:name w:val="List Paragraph"/>
    <w:basedOn w:val="Normal"/>
    <w:uiPriority w:val="34"/>
    <w:qFormat/>
    <w:rsid w:val="0082007E"/>
    <w:pPr>
      <w:ind w:left="720"/>
      <w:contextualSpacing/>
    </w:pPr>
  </w:style>
  <w:style w:type="paragraph" w:styleId="FootnoteText">
    <w:name w:val="footnote text"/>
    <w:basedOn w:val="Normal"/>
    <w:link w:val="FootnoteTextChar"/>
    <w:uiPriority w:val="99"/>
    <w:semiHidden/>
    <w:unhideWhenUsed/>
    <w:rsid w:val="00820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07E"/>
    <w:rPr>
      <w:sz w:val="20"/>
      <w:szCs w:val="20"/>
    </w:rPr>
  </w:style>
  <w:style w:type="character" w:styleId="FootnoteReference">
    <w:name w:val="footnote reference"/>
    <w:basedOn w:val="DefaultParagraphFont"/>
    <w:uiPriority w:val="99"/>
    <w:semiHidden/>
    <w:unhideWhenUsed/>
    <w:rsid w:val="0082007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2022-12-09T07:59:00Z</dcterms:created>
  <dcterms:modified xsi:type="dcterms:W3CDTF">2022-12-09T07:59:00Z</dcterms:modified>
</cp:coreProperties>
</file>