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A401B" w:rsidRPr="00DC6183" w:rsidRDefault="005A401B" w:rsidP="005A401B">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5A401B" w:rsidRPr="00DC6183" w:rsidRDefault="005A401B" w:rsidP="005A401B">
      <w:pPr>
        <w:jc w:val="center"/>
        <w:rPr>
          <w:rFonts w:ascii="Arial" w:hAnsi="Arial" w:cs="Arial"/>
          <w:b/>
          <w:bCs/>
          <w:lang w:val="en-ZA"/>
        </w:rPr>
      </w:pPr>
      <w:r w:rsidRPr="00DC6183">
        <w:rPr>
          <w:rFonts w:ascii="Arial" w:hAnsi="Arial" w:cs="Arial"/>
          <w:b/>
          <w:bCs/>
          <w:lang w:val="en-ZA"/>
        </w:rPr>
        <w:t>FOR WRITTEN REPLY</w:t>
      </w:r>
    </w:p>
    <w:p w:rsidR="005A401B" w:rsidRPr="00DC6183" w:rsidRDefault="005A401B" w:rsidP="005A401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3984</w:t>
      </w:r>
    </w:p>
    <w:p w:rsidR="005A401B" w:rsidRPr="00DC6183" w:rsidRDefault="005A401B" w:rsidP="005A401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5A401B" w:rsidRPr="00FF2AAB" w:rsidRDefault="005A401B" w:rsidP="005A401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5A401B" w:rsidRPr="00FB09C5" w:rsidRDefault="005A401B" w:rsidP="005A401B">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FB09C5">
        <w:rPr>
          <w:rFonts w:ascii="Arial" w:hAnsi="Arial" w:cs="Arial"/>
          <w:b/>
        </w:rPr>
        <w:t>Ms C V King (DA) to ask the Minister of Higher Education, Science and Innovation</w:t>
      </w:r>
      <w:r w:rsidR="0024546B" w:rsidRPr="00FB09C5">
        <w:rPr>
          <w:rFonts w:ascii="Arial" w:hAnsi="Arial" w:cs="Arial"/>
          <w:b/>
        </w:rPr>
        <w:fldChar w:fldCharType="begin"/>
      </w:r>
      <w:r w:rsidRPr="00FB09C5">
        <w:rPr>
          <w:rFonts w:ascii="Arial" w:hAnsi="Arial" w:cs="Arial"/>
          <w:lang w:val="en-ZA"/>
        </w:rPr>
        <w:instrText xml:space="preserve"> XE "</w:instrText>
      </w:r>
      <w:r w:rsidRPr="00FB09C5">
        <w:rPr>
          <w:rFonts w:ascii="Arial" w:hAnsi="Arial" w:cs="Arial"/>
          <w:b/>
          <w:lang w:val="en-ZA"/>
        </w:rPr>
        <w:instrText>Minister of Higher Education, Science and Innovation</w:instrText>
      </w:r>
      <w:r w:rsidRPr="00FB09C5">
        <w:rPr>
          <w:rFonts w:ascii="Arial" w:hAnsi="Arial" w:cs="Arial"/>
          <w:lang w:val="en-ZA"/>
        </w:rPr>
        <w:instrText xml:space="preserve">" </w:instrText>
      </w:r>
      <w:r w:rsidR="0024546B" w:rsidRPr="00FB09C5">
        <w:rPr>
          <w:rFonts w:ascii="Arial" w:hAnsi="Arial" w:cs="Arial"/>
          <w:b/>
        </w:rPr>
        <w:fldChar w:fldCharType="end"/>
      </w:r>
      <w:r w:rsidRPr="00FB09C5">
        <w:rPr>
          <w:rFonts w:ascii="Arial" w:hAnsi="Arial" w:cs="Arial"/>
          <w:b/>
          <w:lang w:val="en-ZA"/>
        </w:rPr>
        <w:t>:</w:t>
      </w:r>
    </w:p>
    <w:p w:rsidR="005A401B" w:rsidRPr="00580E63" w:rsidRDefault="005A401B" w:rsidP="005A401B">
      <w:pPr>
        <w:spacing w:before="100" w:beforeAutospacing="1" w:after="100" w:afterAutospacing="1" w:line="360" w:lineRule="auto"/>
        <w:ind w:left="1440" w:hanging="720"/>
        <w:jc w:val="both"/>
        <w:outlineLvl w:val="0"/>
        <w:rPr>
          <w:rFonts w:ascii="Arial" w:hAnsi="Arial" w:cs="Arial"/>
          <w:lang w:val="en-ZA"/>
        </w:rPr>
      </w:pPr>
      <w:r w:rsidRPr="00580E63">
        <w:rPr>
          <w:rFonts w:ascii="Arial" w:hAnsi="Arial" w:cs="Arial"/>
          <w:lang w:val="en-ZA"/>
        </w:rPr>
        <w:t>(1)</w:t>
      </w:r>
      <w:r w:rsidRPr="00580E63">
        <w:rPr>
          <w:rFonts w:ascii="Arial" w:hAnsi="Arial" w:cs="Arial"/>
          <w:lang w:val="en-ZA"/>
        </w:rPr>
        <w:tab/>
        <w:t xml:space="preserve">Whether, in light of the fact that the Historically Disadvantaged Institutions Development Grant (HDI-DG) was converted to the </w:t>
      </w:r>
      <w:proofErr w:type="spellStart"/>
      <w:r w:rsidRPr="00580E63">
        <w:rPr>
          <w:rFonts w:ascii="Arial" w:hAnsi="Arial" w:cs="Arial"/>
          <w:lang w:val="en-ZA"/>
        </w:rPr>
        <w:t>Sibusiso</w:t>
      </w:r>
      <w:proofErr w:type="spellEnd"/>
      <w:r w:rsidRPr="00580E63">
        <w:rPr>
          <w:rFonts w:ascii="Arial" w:hAnsi="Arial" w:cs="Arial"/>
          <w:lang w:val="en-ZA"/>
        </w:rPr>
        <w:t xml:space="preserve"> </w:t>
      </w:r>
      <w:proofErr w:type="spellStart"/>
      <w:r w:rsidRPr="00580E63">
        <w:rPr>
          <w:rFonts w:ascii="Arial" w:hAnsi="Arial" w:cs="Arial"/>
          <w:lang w:val="en-ZA"/>
        </w:rPr>
        <w:t>Bengu</w:t>
      </w:r>
      <w:proofErr w:type="spellEnd"/>
      <w:r w:rsidRPr="00580E63">
        <w:rPr>
          <w:rFonts w:ascii="Arial" w:hAnsi="Arial" w:cs="Arial"/>
          <w:lang w:val="en-ZA"/>
        </w:rPr>
        <w:t xml:space="preserve"> Development Programme (SB-DP), he will furnish Ms C V King with the closeout report of the HDI-DG; if not, why not; if so, what are the relevant details;</w:t>
      </w:r>
    </w:p>
    <w:p w:rsidR="005A401B" w:rsidRDefault="005A401B" w:rsidP="005A401B">
      <w:pPr>
        <w:spacing w:before="100" w:beforeAutospacing="1" w:after="100" w:afterAutospacing="1" w:line="360" w:lineRule="auto"/>
        <w:ind w:left="1440" w:hanging="720"/>
        <w:jc w:val="both"/>
        <w:outlineLvl w:val="0"/>
        <w:rPr>
          <w:rFonts w:ascii="Arial" w:hAnsi="Arial" w:cs="Arial"/>
          <w:lang w:val="en-ZA"/>
        </w:rPr>
      </w:pPr>
      <w:r w:rsidRPr="00580E63">
        <w:rPr>
          <w:rFonts w:ascii="Arial" w:hAnsi="Arial" w:cs="Arial"/>
          <w:lang w:val="en-ZA"/>
        </w:rPr>
        <w:t>(2)</w:t>
      </w:r>
      <w:r w:rsidRPr="00580E63">
        <w:rPr>
          <w:rFonts w:ascii="Arial" w:hAnsi="Arial" w:cs="Arial"/>
          <w:lang w:val="en-ZA"/>
        </w:rPr>
        <w:tab/>
        <w:t>(a) what sets the SB-DP apart from the HDI-DG, (b) how were the funds of the SB-DP, utilised to cover the 2021-22 financial year shortfall, identified on page 37 of his department’s annual report in relation to the National Student Financial Aid Scheme and (c) what total amount was spent on the gala event of the inauguration of the SB-DP?</w:t>
      </w:r>
      <w:r w:rsidRPr="00580E63">
        <w:rPr>
          <w:rFonts w:ascii="Arial" w:hAnsi="Arial" w:cs="Arial"/>
          <w:lang w:val="en-ZA"/>
        </w:rPr>
        <w:tab/>
      </w:r>
      <w:r w:rsidRPr="00580E63">
        <w:rPr>
          <w:rFonts w:ascii="Arial" w:hAnsi="Arial" w:cs="Arial"/>
          <w:lang w:val="en-ZA"/>
        </w:rPr>
        <w:tab/>
      </w:r>
      <w:r w:rsidRPr="00580E63">
        <w:rPr>
          <w:rFonts w:ascii="Arial" w:hAnsi="Arial" w:cs="Arial"/>
          <w:lang w:val="en-ZA"/>
        </w:rPr>
        <w:tab/>
      </w:r>
      <w:r w:rsidRPr="00580E63">
        <w:rPr>
          <w:rFonts w:ascii="Arial" w:hAnsi="Arial" w:cs="Arial"/>
          <w:lang w:val="en-ZA"/>
        </w:rPr>
        <w:tab/>
      </w:r>
      <w:r w:rsidRPr="00580E63">
        <w:rPr>
          <w:rFonts w:ascii="Arial" w:hAnsi="Arial" w:cs="Arial"/>
          <w:lang w:val="en-ZA"/>
        </w:rPr>
        <w:tab/>
      </w:r>
    </w:p>
    <w:p w:rsidR="005A401B" w:rsidRPr="00580E63" w:rsidRDefault="005A401B" w:rsidP="005A401B">
      <w:pPr>
        <w:spacing w:before="100" w:beforeAutospacing="1" w:after="100" w:afterAutospacing="1" w:line="360" w:lineRule="auto"/>
        <w:ind w:left="7920"/>
        <w:jc w:val="both"/>
        <w:outlineLvl w:val="0"/>
        <w:rPr>
          <w:rFonts w:ascii="Arial" w:hAnsi="Arial" w:cs="Arial"/>
          <w:b/>
          <w:lang w:val="en-ZA"/>
        </w:rPr>
      </w:pPr>
      <w:r w:rsidRPr="00580E63">
        <w:rPr>
          <w:rFonts w:ascii="Arial" w:hAnsi="Arial" w:cs="Arial"/>
          <w:b/>
          <w:lang w:val="en-ZA"/>
        </w:rPr>
        <w:t>NW4954E</w:t>
      </w:r>
    </w:p>
    <w:p w:rsidR="005A401B" w:rsidRDefault="005A401B" w:rsidP="005A401B">
      <w:pPr>
        <w:spacing w:before="100" w:beforeAutospacing="1" w:after="100" w:afterAutospacing="1" w:line="360" w:lineRule="auto"/>
        <w:ind w:left="720" w:right="26" w:hanging="720"/>
        <w:jc w:val="both"/>
        <w:outlineLvl w:val="0"/>
        <w:rPr>
          <w:rFonts w:ascii="Arial" w:hAnsi="Arial" w:cs="Arial"/>
          <w:b/>
        </w:rPr>
      </w:pPr>
    </w:p>
    <w:p w:rsidR="005A401B" w:rsidRDefault="005A401B" w:rsidP="005A401B">
      <w:pPr>
        <w:spacing w:before="100" w:beforeAutospacing="1" w:after="100" w:afterAutospacing="1" w:line="360" w:lineRule="auto"/>
        <w:ind w:right="26"/>
        <w:jc w:val="both"/>
        <w:outlineLvl w:val="0"/>
        <w:rPr>
          <w:rFonts w:ascii="Arial" w:hAnsi="Arial" w:cs="Arial"/>
          <w:b/>
        </w:rPr>
      </w:pPr>
    </w:p>
    <w:p w:rsidR="005A401B" w:rsidRDefault="005A401B" w:rsidP="005A401B">
      <w:pPr>
        <w:spacing w:before="100" w:beforeAutospacing="1" w:after="100" w:afterAutospacing="1" w:line="360" w:lineRule="auto"/>
        <w:ind w:right="26"/>
        <w:jc w:val="both"/>
        <w:outlineLvl w:val="0"/>
        <w:rPr>
          <w:rFonts w:ascii="Arial" w:hAnsi="Arial" w:cs="Arial"/>
          <w:b/>
        </w:rPr>
      </w:pPr>
    </w:p>
    <w:p w:rsidR="005A401B" w:rsidRDefault="005A401B" w:rsidP="005A401B">
      <w:pPr>
        <w:spacing w:before="100" w:beforeAutospacing="1" w:after="100" w:afterAutospacing="1" w:line="360" w:lineRule="auto"/>
        <w:ind w:right="26"/>
        <w:jc w:val="both"/>
        <w:outlineLvl w:val="0"/>
        <w:rPr>
          <w:rFonts w:ascii="Arial" w:hAnsi="Arial" w:cs="Arial"/>
          <w:b/>
        </w:rPr>
      </w:pPr>
    </w:p>
    <w:p w:rsidR="005A401B" w:rsidRDefault="005A401B" w:rsidP="005A401B">
      <w:pPr>
        <w:spacing w:before="100" w:beforeAutospacing="1" w:after="100" w:afterAutospacing="1" w:line="360" w:lineRule="auto"/>
        <w:ind w:right="26"/>
        <w:jc w:val="both"/>
        <w:outlineLvl w:val="0"/>
        <w:rPr>
          <w:rFonts w:ascii="Arial" w:hAnsi="Arial" w:cs="Arial"/>
          <w:b/>
        </w:rPr>
      </w:pPr>
    </w:p>
    <w:p w:rsidR="005A401B" w:rsidRDefault="005A401B" w:rsidP="005A401B">
      <w:pPr>
        <w:spacing w:before="100" w:beforeAutospacing="1" w:after="100" w:afterAutospacing="1" w:line="360" w:lineRule="auto"/>
        <w:ind w:right="26"/>
        <w:jc w:val="both"/>
        <w:outlineLvl w:val="0"/>
        <w:rPr>
          <w:rFonts w:ascii="Arial" w:hAnsi="Arial" w:cs="Arial"/>
          <w:b/>
        </w:rPr>
      </w:pPr>
    </w:p>
    <w:p w:rsidR="005A401B" w:rsidRPr="00F31739" w:rsidRDefault="005A401B" w:rsidP="005A401B">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5A401B" w:rsidRPr="00A87F56" w:rsidRDefault="005A401B" w:rsidP="005A401B">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 xml:space="preserve">The Historically Disadvantaged Institutions Development Grant was converted to the </w:t>
      </w:r>
      <w:proofErr w:type="spellStart"/>
      <w:r w:rsidRPr="00A87F56">
        <w:rPr>
          <w:rFonts w:ascii="Arial" w:eastAsia="Times New Roman" w:hAnsi="Arial" w:cs="Arial"/>
          <w:lang w:val="en-ZA" w:eastAsia="en-ZA"/>
        </w:rPr>
        <w:t>Sibusiso</w:t>
      </w:r>
      <w:proofErr w:type="spellEnd"/>
      <w:r w:rsidRPr="00A87F56">
        <w:rPr>
          <w:rFonts w:ascii="Arial" w:eastAsia="Times New Roman" w:hAnsi="Arial" w:cs="Arial"/>
          <w:lang w:val="en-ZA" w:eastAsia="en-ZA"/>
        </w:rPr>
        <w:t xml:space="preserve"> </w:t>
      </w:r>
      <w:proofErr w:type="spellStart"/>
      <w:r w:rsidRPr="00A87F56">
        <w:rPr>
          <w:rFonts w:ascii="Arial" w:eastAsia="Times New Roman" w:hAnsi="Arial" w:cs="Arial"/>
          <w:lang w:val="en-ZA" w:eastAsia="en-ZA"/>
        </w:rPr>
        <w:t>Bengu</w:t>
      </w:r>
      <w:proofErr w:type="spellEnd"/>
      <w:r w:rsidRPr="00A87F56">
        <w:rPr>
          <w:rFonts w:ascii="Arial" w:eastAsia="Times New Roman" w:hAnsi="Arial" w:cs="Arial"/>
          <w:lang w:val="en-ZA" w:eastAsia="en-ZA"/>
        </w:rPr>
        <w:t xml:space="preserve"> Development Programme (SB-DP). There is no close-out report of the Historically Disadvantaged Institutions Development Grant as it was not discontinued, the programme has been enhanced and is ongoing. The </w:t>
      </w:r>
      <w:proofErr w:type="spellStart"/>
      <w:r w:rsidRPr="00A87F56">
        <w:rPr>
          <w:rFonts w:ascii="Arial" w:eastAsia="Times New Roman" w:hAnsi="Arial" w:cs="Arial"/>
          <w:lang w:val="en-ZA" w:eastAsia="en-ZA"/>
        </w:rPr>
        <w:t>Sibusiso</w:t>
      </w:r>
      <w:proofErr w:type="spellEnd"/>
      <w:r w:rsidRPr="00A87F56">
        <w:rPr>
          <w:rFonts w:ascii="Arial" w:eastAsia="Times New Roman" w:hAnsi="Arial" w:cs="Arial"/>
          <w:lang w:val="en-ZA" w:eastAsia="en-ZA"/>
        </w:rPr>
        <w:t xml:space="preserve"> </w:t>
      </w:r>
      <w:proofErr w:type="spellStart"/>
      <w:r w:rsidRPr="00A87F56">
        <w:rPr>
          <w:rFonts w:ascii="Arial" w:eastAsia="Times New Roman" w:hAnsi="Arial" w:cs="Arial"/>
          <w:lang w:val="en-ZA" w:eastAsia="en-ZA"/>
        </w:rPr>
        <w:t>Bengu</w:t>
      </w:r>
      <w:proofErr w:type="spellEnd"/>
      <w:r w:rsidRPr="00A87F56">
        <w:rPr>
          <w:rFonts w:ascii="Arial" w:eastAsia="Times New Roman" w:hAnsi="Arial" w:cs="Arial"/>
          <w:lang w:val="en-ZA" w:eastAsia="en-ZA"/>
        </w:rPr>
        <w:t xml:space="preserve"> Development Framework provides the rationale for enhancing the programme.</w:t>
      </w:r>
    </w:p>
    <w:p w:rsidR="005A401B" w:rsidRPr="00A87F56" w:rsidRDefault="005A401B" w:rsidP="005A401B">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 xml:space="preserve">(a)   Following extensive consultations with universities and various interest groups, the Historically Disadvantaged Institutions Development Programme was renamed the </w:t>
      </w:r>
      <w:proofErr w:type="spellStart"/>
      <w:r w:rsidRPr="00A87F56">
        <w:rPr>
          <w:rFonts w:ascii="Arial" w:eastAsia="Times New Roman" w:hAnsi="Arial" w:cs="Arial"/>
          <w:lang w:val="en-ZA" w:eastAsia="en-ZA"/>
        </w:rPr>
        <w:t>Sibusiso</w:t>
      </w:r>
      <w:proofErr w:type="spellEnd"/>
      <w:r w:rsidRPr="00A87F56">
        <w:rPr>
          <w:rFonts w:ascii="Arial" w:eastAsia="Times New Roman" w:hAnsi="Arial" w:cs="Arial"/>
          <w:lang w:val="en-ZA" w:eastAsia="en-ZA"/>
        </w:rPr>
        <w:t xml:space="preserve"> </w:t>
      </w:r>
      <w:proofErr w:type="spellStart"/>
      <w:r w:rsidRPr="00A87F56">
        <w:rPr>
          <w:rFonts w:ascii="Arial" w:eastAsia="Times New Roman" w:hAnsi="Arial" w:cs="Arial"/>
          <w:lang w:val="en-ZA" w:eastAsia="en-ZA"/>
        </w:rPr>
        <w:t>Bengu</w:t>
      </w:r>
      <w:proofErr w:type="spellEnd"/>
      <w:r w:rsidRPr="00A87F56">
        <w:rPr>
          <w:rFonts w:ascii="Arial" w:eastAsia="Times New Roman" w:hAnsi="Arial" w:cs="Arial"/>
          <w:lang w:val="en-ZA" w:eastAsia="en-ZA"/>
        </w:rPr>
        <w:t xml:space="preserve"> Development Programme (SB-DP) in honour of Prof </w:t>
      </w:r>
      <w:proofErr w:type="spellStart"/>
      <w:r w:rsidRPr="00A87F56">
        <w:rPr>
          <w:rFonts w:ascii="Arial" w:eastAsia="Times New Roman" w:hAnsi="Arial" w:cs="Arial"/>
          <w:lang w:val="en-ZA" w:eastAsia="en-ZA"/>
        </w:rPr>
        <w:t>Bengu</w:t>
      </w:r>
      <w:proofErr w:type="spellEnd"/>
      <w:r w:rsidRPr="00A87F56">
        <w:rPr>
          <w:rFonts w:ascii="Arial" w:eastAsia="Times New Roman" w:hAnsi="Arial" w:cs="Arial"/>
          <w:lang w:val="en-ZA" w:eastAsia="en-ZA"/>
        </w:rPr>
        <w:t>.</w:t>
      </w:r>
    </w:p>
    <w:p w:rsidR="005A401B" w:rsidRPr="00A87F56" w:rsidRDefault="005A401B" w:rsidP="005A401B">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The SB-DP has been developed to support capacity development in seven strategic areas as outlined in the SB-DP Framework document. The seven strategic areas are institutional management and governance; institutional infrastructure and facilities; student experience; staff development and support; academic enterprise; research and innovation; and relationships and partnerships.</w:t>
      </w:r>
    </w:p>
    <w:p w:rsidR="005A401B" w:rsidRPr="00A87F56" w:rsidRDefault="005A401B" w:rsidP="005A401B">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(b)</w:t>
      </w:r>
      <w:r w:rsidRPr="00A87F56">
        <w:rPr>
          <w:rFonts w:ascii="Arial" w:eastAsia="Times New Roman" w:hAnsi="Arial" w:cs="Arial"/>
          <w:b/>
          <w:bCs/>
          <w:lang w:val="en-ZA" w:eastAsia="en-ZA"/>
        </w:rPr>
        <w:t xml:space="preserve">   </w:t>
      </w:r>
      <w:r w:rsidRPr="00A87F56">
        <w:rPr>
          <w:rFonts w:ascii="Arial" w:eastAsia="Times New Roman" w:hAnsi="Arial" w:cs="Arial"/>
          <w:lang w:val="en-ZA" w:eastAsia="en-ZA"/>
        </w:rPr>
        <w:t>The funds were transferred to the National Student Financial Aid Scheme (NSFAS) in accordance with the regulatory framework governing the transfer of voted funds and requisite prior approvals.</w:t>
      </w:r>
    </w:p>
    <w:p w:rsidR="005A401B" w:rsidRPr="00A87F56" w:rsidRDefault="005A401B" w:rsidP="005A401B">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(c)   The Department did not host a gala event. It conducted an official launch of the programme.  The launch catered for more than 150 guests at a total cost of R410 136.39 which is broken-down as follows:</w:t>
      </w:r>
    </w:p>
    <w:p w:rsidR="005A401B" w:rsidRPr="00A87F56" w:rsidRDefault="005A401B" w:rsidP="005A401B">
      <w:pPr>
        <w:spacing w:before="100" w:beforeAutospacing="1" w:after="100" w:afterAutospacing="1" w:line="360" w:lineRule="auto"/>
        <w:ind w:left="705"/>
        <w:jc w:val="both"/>
        <w:rPr>
          <w:rFonts w:ascii="Arial" w:eastAsia="Times New Roman" w:hAnsi="Arial" w:cs="Arial"/>
          <w:lang w:val="en-ZA" w:eastAsia="en-ZA"/>
        </w:rPr>
      </w:pPr>
      <w:r w:rsidRPr="00A87F56">
        <w:rPr>
          <w:rFonts w:ascii="Arial" w:eastAsia="Times New Roman" w:hAnsi="Arial" w:cs="Arial"/>
          <w:lang w:val="en-ZA" w:eastAsia="en-ZA"/>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00"/>
        <w:gridCol w:w="1985"/>
      </w:tblGrid>
      <w:tr w:rsidR="005A401B" w:rsidRPr="00A87F56" w:rsidTr="00527375">
        <w:trPr>
          <w:tblCellSpacing w:w="0" w:type="dxa"/>
        </w:trPr>
        <w:tc>
          <w:tcPr>
            <w:tcW w:w="380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b/>
                <w:bCs/>
                <w:lang w:val="en-ZA" w:eastAsia="en-ZA"/>
              </w:rPr>
              <w:t>Item</w:t>
            </w:r>
          </w:p>
        </w:tc>
        <w:tc>
          <w:tcPr>
            <w:tcW w:w="198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b/>
                <w:bCs/>
                <w:lang w:val="en-ZA" w:eastAsia="en-ZA"/>
              </w:rPr>
              <w:t>Cost (R)</w:t>
            </w:r>
          </w:p>
        </w:tc>
      </w:tr>
      <w:tr w:rsidR="005A401B" w:rsidRPr="00A87F56" w:rsidTr="00527375">
        <w:trPr>
          <w:tblCellSpacing w:w="0" w:type="dxa"/>
        </w:trPr>
        <w:tc>
          <w:tcPr>
            <w:tcW w:w="3800"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Venue and Catering</w:t>
            </w:r>
          </w:p>
        </w:tc>
        <w:tc>
          <w:tcPr>
            <w:tcW w:w="1985"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90 800.00</w:t>
            </w:r>
          </w:p>
        </w:tc>
      </w:tr>
      <w:tr w:rsidR="005A401B" w:rsidRPr="00A87F56" w:rsidTr="00527375">
        <w:trPr>
          <w:tblCellSpacing w:w="0" w:type="dxa"/>
        </w:trPr>
        <w:tc>
          <w:tcPr>
            <w:tcW w:w="3800"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Décor including Sound and Video</w:t>
            </w:r>
          </w:p>
        </w:tc>
        <w:tc>
          <w:tcPr>
            <w:tcW w:w="1985"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69 336.39</w:t>
            </w:r>
          </w:p>
        </w:tc>
      </w:tr>
      <w:tr w:rsidR="005A401B" w:rsidRPr="00A87F56" w:rsidTr="00527375">
        <w:trPr>
          <w:tblCellSpacing w:w="0" w:type="dxa"/>
        </w:trPr>
        <w:tc>
          <w:tcPr>
            <w:tcW w:w="3800"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Media Coverage</w:t>
            </w:r>
          </w:p>
        </w:tc>
        <w:tc>
          <w:tcPr>
            <w:tcW w:w="1985"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lang w:val="en-ZA" w:eastAsia="en-ZA"/>
              </w:rPr>
              <w:t>250 000.00</w:t>
            </w:r>
          </w:p>
        </w:tc>
      </w:tr>
      <w:tr w:rsidR="005A401B" w:rsidRPr="00A87F56" w:rsidTr="00527375">
        <w:trPr>
          <w:tblCellSpacing w:w="0" w:type="dxa"/>
        </w:trPr>
        <w:tc>
          <w:tcPr>
            <w:tcW w:w="3800"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b/>
                <w:bCs/>
                <w:lang w:val="en-ZA" w:eastAsia="en-ZA"/>
              </w:rPr>
              <w:t>Total</w:t>
            </w:r>
          </w:p>
        </w:tc>
        <w:tc>
          <w:tcPr>
            <w:tcW w:w="1985" w:type="dxa"/>
            <w:tcBorders>
              <w:top w:val="outset" w:sz="6" w:space="0" w:color="auto"/>
              <w:left w:val="outset" w:sz="6" w:space="0" w:color="auto"/>
              <w:bottom w:val="outset" w:sz="6" w:space="0" w:color="auto"/>
              <w:right w:val="outset" w:sz="6" w:space="0" w:color="auto"/>
            </w:tcBorders>
            <w:hideMark/>
          </w:tcPr>
          <w:p w:rsidR="005A401B" w:rsidRPr="00A87F56" w:rsidRDefault="005A401B" w:rsidP="00527375">
            <w:pPr>
              <w:spacing w:before="100" w:beforeAutospacing="1" w:after="100" w:afterAutospacing="1" w:line="360" w:lineRule="auto"/>
              <w:jc w:val="both"/>
              <w:rPr>
                <w:rFonts w:ascii="Arial" w:eastAsia="Times New Roman" w:hAnsi="Arial" w:cs="Arial"/>
                <w:lang w:val="en-ZA" w:eastAsia="en-ZA"/>
              </w:rPr>
            </w:pPr>
            <w:r w:rsidRPr="00A87F56">
              <w:rPr>
                <w:rFonts w:ascii="Arial" w:eastAsia="Times New Roman" w:hAnsi="Arial" w:cs="Arial"/>
                <w:b/>
                <w:bCs/>
                <w:lang w:val="en-ZA" w:eastAsia="en-ZA"/>
              </w:rPr>
              <w:t>410 136.39</w:t>
            </w:r>
          </w:p>
        </w:tc>
      </w:tr>
    </w:tbl>
    <w:p w:rsidR="00BD00C9" w:rsidRPr="00230B62" w:rsidRDefault="00BD00C9" w:rsidP="005A401B">
      <w:pPr>
        <w:spacing w:before="240"/>
        <w:rPr>
          <w:rFonts w:ascii="Arial" w:hAnsi="Arial" w:cs="Arial"/>
          <w:bCs/>
          <w:lang w:val="en-ZA"/>
        </w:rPr>
      </w:pPr>
    </w:p>
    <w:sectPr w:rsidR="00BD00C9" w:rsidRPr="00230B62"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5D" w:rsidRDefault="00D83F5D">
      <w:pPr>
        <w:spacing w:after="0" w:line="240" w:lineRule="auto"/>
      </w:pPr>
      <w:r>
        <w:separator/>
      </w:r>
    </w:p>
  </w:endnote>
  <w:endnote w:type="continuationSeparator" w:id="0">
    <w:p w:rsidR="00D83F5D" w:rsidRDefault="00D83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5D" w:rsidRDefault="00D83F5D">
      <w:pPr>
        <w:spacing w:after="0" w:line="240" w:lineRule="auto"/>
      </w:pPr>
      <w:r>
        <w:separator/>
      </w:r>
    </w:p>
  </w:footnote>
  <w:footnote w:type="continuationSeparator" w:id="0">
    <w:p w:rsidR="00D83F5D" w:rsidRDefault="00D83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46B"/>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01B"/>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1BBF"/>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6EAE"/>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D5E94"/>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3F5D"/>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614FD15-ABA8-40C0-9B95-379C0AC1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2022-11-11T14:03:00Z</dcterms:created>
  <dcterms:modified xsi:type="dcterms:W3CDTF">2022-11-11T14:03:00Z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